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6670" w14:textId="77777777" w:rsidR="00586C3E" w:rsidRPr="00B608F3" w:rsidRDefault="00586C3E" w:rsidP="00586C3E">
      <w:pPr>
        <w:spacing w:after="120" w:line="240" w:lineRule="auto"/>
        <w:jc w:val="center"/>
        <w:rPr>
          <w:b/>
          <w:sz w:val="28"/>
          <w:lang w:val="fr-BE"/>
        </w:rPr>
      </w:pPr>
      <w:r w:rsidRPr="00B608F3">
        <w:rPr>
          <w:b/>
          <w:sz w:val="28"/>
          <w:lang w:val="fr-BE"/>
        </w:rPr>
        <w:t>Opportunité de financement de projets culturels par l'Union européenne au Mali</w:t>
      </w:r>
    </w:p>
    <w:p w14:paraId="4CF582F8" w14:textId="1CB16D65" w:rsidR="00DE2713" w:rsidRPr="00B608F3" w:rsidRDefault="00E920AE" w:rsidP="001A267F">
      <w:pPr>
        <w:pStyle w:val="Titre1"/>
        <w:spacing w:line="480" w:lineRule="auto"/>
        <w:jc w:val="center"/>
        <w:rPr>
          <w:lang w:val="fr-BE"/>
        </w:rPr>
      </w:pPr>
      <w:r w:rsidRPr="00B608F3">
        <w:rPr>
          <w:lang w:val="fr-BE"/>
        </w:rPr>
        <w:t>"La c</w:t>
      </w:r>
      <w:r w:rsidR="00DE2713" w:rsidRPr="00B608F3">
        <w:rPr>
          <w:lang w:val="fr-BE"/>
        </w:rPr>
        <w:t>ulture pour la paix</w:t>
      </w:r>
      <w:r w:rsidR="00586C3E" w:rsidRPr="00B608F3">
        <w:rPr>
          <w:lang w:val="fr-BE"/>
        </w:rPr>
        <w:t xml:space="preserve"> – Unis dans la diversité</w:t>
      </w:r>
      <w:r w:rsidR="00DE2713" w:rsidRPr="00B608F3">
        <w:rPr>
          <w:lang w:val="fr-BE"/>
        </w:rPr>
        <w:t>"</w:t>
      </w:r>
    </w:p>
    <w:p w14:paraId="01AE4B59" w14:textId="667A7F66" w:rsidR="00DE2713" w:rsidRPr="00B608F3" w:rsidRDefault="00DE2713" w:rsidP="00170CC3">
      <w:pPr>
        <w:spacing w:after="120" w:line="240" w:lineRule="auto"/>
        <w:jc w:val="both"/>
        <w:rPr>
          <w:lang w:val="fr-BE"/>
        </w:rPr>
      </w:pPr>
      <w:r w:rsidRPr="00B608F3">
        <w:rPr>
          <w:lang w:val="fr-BE"/>
        </w:rPr>
        <w:t>La Délégation de l'Union européenne en République du Mali et le Gouvernement du Mali, v</w:t>
      </w:r>
      <w:r w:rsidR="00AB53EF">
        <w:rPr>
          <w:lang w:val="fr-BE"/>
        </w:rPr>
        <w:t>ia la Cellule de l'Ordonnateur N</w:t>
      </w:r>
      <w:r w:rsidRPr="00B608F3">
        <w:rPr>
          <w:lang w:val="fr-BE"/>
        </w:rPr>
        <w:t>ational du FED (CONFED), souhaitent par l</w:t>
      </w:r>
      <w:r w:rsidR="009842DF" w:rsidRPr="00B608F3">
        <w:rPr>
          <w:lang w:val="fr-BE"/>
        </w:rPr>
        <w:t>e</w:t>
      </w:r>
      <w:r w:rsidRPr="00B608F3">
        <w:rPr>
          <w:lang w:val="fr-BE"/>
        </w:rPr>
        <w:t xml:space="preserve"> présent</w:t>
      </w:r>
      <w:r w:rsidR="009842DF" w:rsidRPr="00B608F3">
        <w:rPr>
          <w:lang w:val="fr-BE"/>
        </w:rPr>
        <w:t xml:space="preserve"> appel à</w:t>
      </w:r>
      <w:r w:rsidRPr="00B608F3">
        <w:rPr>
          <w:lang w:val="fr-BE"/>
        </w:rPr>
        <w:t xml:space="preserve"> manifestation d'intérêt financer des projets dans le domaine culturel au Mali. </w:t>
      </w:r>
    </w:p>
    <w:p w14:paraId="168D5459" w14:textId="77777777" w:rsidR="00E920AE" w:rsidRPr="00B608F3" w:rsidRDefault="00E920AE" w:rsidP="00170CC3">
      <w:pPr>
        <w:spacing w:after="120" w:line="240" w:lineRule="auto"/>
        <w:jc w:val="both"/>
        <w:rPr>
          <w:lang w:val="fr-BE"/>
        </w:rPr>
      </w:pPr>
      <w:r w:rsidRPr="00B608F3">
        <w:rPr>
          <w:lang w:val="fr-BE"/>
        </w:rPr>
        <w:t xml:space="preserve">L'objectif de ce financement est de promouvoir la diversité culturelle du Mali et de démontrer que celle-ci est un atout qui contribue à l'union et à la paix au Mali. </w:t>
      </w:r>
    </w:p>
    <w:p w14:paraId="46E9AAF5" w14:textId="77777777" w:rsidR="00DE2713" w:rsidRPr="00B608F3" w:rsidRDefault="00DE2713" w:rsidP="00170CC3">
      <w:pPr>
        <w:spacing w:after="120" w:line="240" w:lineRule="auto"/>
        <w:jc w:val="both"/>
        <w:rPr>
          <w:lang w:val="fr-BE"/>
        </w:rPr>
      </w:pPr>
    </w:p>
    <w:p w14:paraId="0D505492" w14:textId="77777777" w:rsidR="00DE2713" w:rsidRPr="00B608F3" w:rsidRDefault="00DE2713" w:rsidP="00170CC3">
      <w:pPr>
        <w:spacing w:after="120" w:line="240" w:lineRule="auto"/>
        <w:jc w:val="both"/>
        <w:rPr>
          <w:b/>
          <w:lang w:val="fr-BE"/>
        </w:rPr>
      </w:pPr>
      <w:r w:rsidRPr="00B608F3">
        <w:rPr>
          <w:b/>
          <w:lang w:val="fr-BE"/>
        </w:rPr>
        <w:t>Quoi?</w:t>
      </w:r>
    </w:p>
    <w:p w14:paraId="5DC9172A" w14:textId="77777777" w:rsidR="00DE2713" w:rsidRPr="00B608F3" w:rsidRDefault="00DE2713" w:rsidP="00170CC3">
      <w:pPr>
        <w:pStyle w:val="Paragraphedeliste"/>
        <w:numPr>
          <w:ilvl w:val="0"/>
          <w:numId w:val="1"/>
        </w:numPr>
        <w:spacing w:after="120" w:line="240" w:lineRule="auto"/>
        <w:ind w:left="360"/>
        <w:jc w:val="both"/>
        <w:rPr>
          <w:lang w:val="fr-BE"/>
        </w:rPr>
      </w:pPr>
      <w:r w:rsidRPr="00B608F3">
        <w:rPr>
          <w:lang w:val="fr-BE"/>
        </w:rPr>
        <w:t>Type d'action: évènement ponctuel ou régulier, festival, activité</w:t>
      </w:r>
      <w:r w:rsidR="00142B82" w:rsidRPr="00B608F3">
        <w:rPr>
          <w:lang w:val="fr-BE"/>
        </w:rPr>
        <w:t xml:space="preserve"> culturelle</w:t>
      </w:r>
      <w:r w:rsidR="005B271E">
        <w:rPr>
          <w:lang w:val="fr-BE"/>
        </w:rPr>
        <w:t>, production audio-visuelle</w:t>
      </w:r>
      <w:r w:rsidR="00D75FB6">
        <w:rPr>
          <w:lang w:val="fr-BE"/>
        </w:rPr>
        <w:t>, formation professionnelle dans le domaine culturel, etc</w:t>
      </w:r>
      <w:r w:rsidR="00586C3E" w:rsidRPr="00B608F3">
        <w:rPr>
          <w:lang w:val="fr-BE"/>
        </w:rPr>
        <w:t>.</w:t>
      </w:r>
    </w:p>
    <w:p w14:paraId="068A93F5" w14:textId="77777777" w:rsidR="00DE2713" w:rsidRPr="00B608F3" w:rsidRDefault="00DE2713" w:rsidP="00170CC3">
      <w:pPr>
        <w:pStyle w:val="Paragraphedeliste"/>
        <w:numPr>
          <w:ilvl w:val="0"/>
          <w:numId w:val="1"/>
        </w:numPr>
        <w:spacing w:after="120" w:line="240" w:lineRule="auto"/>
        <w:ind w:left="360"/>
        <w:jc w:val="both"/>
        <w:rPr>
          <w:lang w:val="fr-BE"/>
        </w:rPr>
      </w:pPr>
      <w:r w:rsidRPr="00B608F3">
        <w:rPr>
          <w:lang w:val="fr-BE"/>
        </w:rPr>
        <w:t>Priorités:</w:t>
      </w:r>
    </w:p>
    <w:p w14:paraId="0D5ACE7C" w14:textId="77777777" w:rsidR="00C619E7" w:rsidRPr="00B608F3" w:rsidRDefault="00C619E7" w:rsidP="00C619E7">
      <w:pPr>
        <w:numPr>
          <w:ilvl w:val="0"/>
          <w:numId w:val="4"/>
        </w:numPr>
        <w:spacing w:after="160" w:line="252" w:lineRule="auto"/>
        <w:ind w:left="720"/>
        <w:contextualSpacing/>
        <w:jc w:val="both"/>
        <w:rPr>
          <w:lang w:val="fr-BE"/>
        </w:rPr>
      </w:pPr>
      <w:r w:rsidRPr="00B608F3">
        <w:rPr>
          <w:lang w:val="fr-BE"/>
        </w:rPr>
        <w:t>Les projets qui favorisent le brassage entre les régions et la promotion de la paix et de la cohésion sociale au Mali;</w:t>
      </w:r>
    </w:p>
    <w:p w14:paraId="6FB03287" w14:textId="77777777" w:rsidR="00E920AE" w:rsidRPr="00B608F3" w:rsidRDefault="00E920AE" w:rsidP="00E920AE">
      <w:pPr>
        <w:numPr>
          <w:ilvl w:val="0"/>
          <w:numId w:val="4"/>
        </w:numPr>
        <w:spacing w:after="160" w:line="252" w:lineRule="auto"/>
        <w:ind w:left="720"/>
        <w:contextualSpacing/>
        <w:jc w:val="both"/>
        <w:rPr>
          <w:lang w:val="fr-BE"/>
        </w:rPr>
      </w:pPr>
      <w:r w:rsidRPr="00B608F3">
        <w:rPr>
          <w:lang w:val="fr-BE"/>
        </w:rPr>
        <w:t xml:space="preserve">Activités organisées de préférence dans les quartiers périphériques de Bamako et en région; </w:t>
      </w:r>
    </w:p>
    <w:p w14:paraId="558F49D2" w14:textId="77777777" w:rsidR="00C619E7" w:rsidRPr="00B608F3" w:rsidRDefault="00C619E7" w:rsidP="00C619E7">
      <w:pPr>
        <w:numPr>
          <w:ilvl w:val="0"/>
          <w:numId w:val="4"/>
        </w:numPr>
        <w:tabs>
          <w:tab w:val="clear" w:pos="1080"/>
          <w:tab w:val="num" w:pos="720"/>
        </w:tabs>
        <w:spacing w:after="160" w:line="252" w:lineRule="auto"/>
        <w:ind w:left="720"/>
        <w:contextualSpacing/>
        <w:jc w:val="both"/>
        <w:rPr>
          <w:rFonts w:eastAsia="Times New Roman"/>
          <w:lang w:val="fr-BE"/>
        </w:rPr>
      </w:pPr>
      <w:r w:rsidRPr="00B608F3">
        <w:rPr>
          <w:lang w:val="fr-BE"/>
        </w:rPr>
        <w:t xml:space="preserve">Activités </w:t>
      </w:r>
      <w:r w:rsidRPr="00B608F3">
        <w:rPr>
          <w:rFonts w:eastAsia="Times New Roman"/>
          <w:lang w:val="fr-BE"/>
        </w:rPr>
        <w:t>accessibles au plus grand nombre (préférence pour des évènements gratuits);</w:t>
      </w:r>
    </w:p>
    <w:p w14:paraId="750FE2F7" w14:textId="77777777" w:rsidR="00142B82" w:rsidRPr="00B608F3" w:rsidRDefault="00142B82" w:rsidP="00170CC3">
      <w:pPr>
        <w:numPr>
          <w:ilvl w:val="0"/>
          <w:numId w:val="4"/>
        </w:numPr>
        <w:spacing w:after="160" w:line="252" w:lineRule="auto"/>
        <w:ind w:left="720"/>
        <w:contextualSpacing/>
        <w:jc w:val="both"/>
        <w:rPr>
          <w:rFonts w:eastAsia="Times New Roman"/>
          <w:lang w:val="fr-BE"/>
        </w:rPr>
      </w:pPr>
      <w:r w:rsidRPr="00B608F3">
        <w:rPr>
          <w:rFonts w:eastAsia="Times New Roman"/>
          <w:lang w:val="fr-BE"/>
        </w:rPr>
        <w:t>Les projets avec un potentiel de création d’emplois décents et pérennes dans le secteur culturel (y compris artisanat culturel et artisanat d’art). Il peut aussi s’agir de formations techniques, couplées à des formations générales en entrepreneuriat culturel et/ou citoye</w:t>
      </w:r>
      <w:r w:rsidR="00586C3E" w:rsidRPr="00B608F3">
        <w:rPr>
          <w:rFonts w:eastAsia="Times New Roman"/>
          <w:lang w:val="fr-BE"/>
        </w:rPr>
        <w:t>nneté afin que les jeunes formé</w:t>
      </w:r>
      <w:r w:rsidRPr="00B608F3">
        <w:rPr>
          <w:rFonts w:eastAsia="Times New Roman"/>
          <w:lang w:val="fr-BE"/>
        </w:rPr>
        <w:t>s maximisent leurs opportunité</w:t>
      </w:r>
      <w:r w:rsidR="00026415" w:rsidRPr="00B608F3">
        <w:rPr>
          <w:rFonts w:eastAsia="Times New Roman"/>
          <w:lang w:val="fr-BE"/>
        </w:rPr>
        <w:t>s d’emploi après ces formations;</w:t>
      </w:r>
    </w:p>
    <w:p w14:paraId="7D830A39" w14:textId="77777777" w:rsidR="00527949" w:rsidRPr="00B608F3" w:rsidRDefault="00527949" w:rsidP="00170CC3">
      <w:pPr>
        <w:numPr>
          <w:ilvl w:val="0"/>
          <w:numId w:val="4"/>
        </w:numPr>
        <w:spacing w:after="160" w:line="252" w:lineRule="auto"/>
        <w:ind w:left="720"/>
        <w:contextualSpacing/>
        <w:jc w:val="both"/>
        <w:rPr>
          <w:rFonts w:eastAsia="Times New Roman"/>
          <w:lang w:val="fr-BE"/>
        </w:rPr>
      </w:pPr>
      <w:r w:rsidRPr="00B608F3">
        <w:rPr>
          <w:lang w:val="fr-BE"/>
        </w:rPr>
        <w:t xml:space="preserve">Projets s'intégrant dans les </w:t>
      </w:r>
      <w:r w:rsidR="009842DF" w:rsidRPr="00B608F3">
        <w:rPr>
          <w:lang w:val="fr-BE"/>
        </w:rPr>
        <w:t>priorités de l'UE et du Mali en matière d</w:t>
      </w:r>
      <w:r w:rsidR="001C7AF5">
        <w:rPr>
          <w:lang w:val="fr-BE"/>
        </w:rPr>
        <w:t>e</w:t>
      </w:r>
      <w:r w:rsidR="009842DF" w:rsidRPr="00B608F3">
        <w:rPr>
          <w:lang w:val="fr-BE"/>
        </w:rPr>
        <w:t xml:space="preserve"> culture (voir annexe</w:t>
      </w:r>
      <w:r w:rsidR="006B7923">
        <w:rPr>
          <w:lang w:val="fr-BE"/>
        </w:rPr>
        <w:t xml:space="preserve"> 3</w:t>
      </w:r>
      <w:r w:rsidR="009842DF" w:rsidRPr="00B608F3">
        <w:rPr>
          <w:lang w:val="fr-BE"/>
        </w:rPr>
        <w:t>)</w:t>
      </w:r>
      <w:r w:rsidR="00142B82" w:rsidRPr="00B608F3">
        <w:rPr>
          <w:lang w:val="fr-BE"/>
        </w:rPr>
        <w:t>.</w:t>
      </w:r>
    </w:p>
    <w:p w14:paraId="272C2D83" w14:textId="77777777" w:rsidR="00142B82" w:rsidRPr="00B608F3" w:rsidRDefault="00142B82" w:rsidP="00170CC3">
      <w:pPr>
        <w:pStyle w:val="Paragraphedeliste"/>
        <w:numPr>
          <w:ilvl w:val="0"/>
          <w:numId w:val="1"/>
        </w:numPr>
        <w:spacing w:after="120" w:line="240" w:lineRule="auto"/>
        <w:ind w:left="360"/>
        <w:jc w:val="both"/>
        <w:rPr>
          <w:lang w:val="fr-BE"/>
        </w:rPr>
      </w:pPr>
      <w:r w:rsidRPr="00B608F3">
        <w:rPr>
          <w:lang w:val="fr-BE"/>
        </w:rPr>
        <w:t xml:space="preserve">Les projets devront assurer une </w:t>
      </w:r>
      <w:r w:rsidR="00833802">
        <w:rPr>
          <w:lang w:val="fr-BE"/>
        </w:rPr>
        <w:t>bonne communication sur les valeurs de l'UE et son action au Mali</w:t>
      </w:r>
      <w:r w:rsidR="00AB6E92" w:rsidRPr="00B608F3">
        <w:rPr>
          <w:lang w:val="fr-BE"/>
        </w:rPr>
        <w:t>.</w:t>
      </w:r>
    </w:p>
    <w:p w14:paraId="64DAB75B" w14:textId="77777777" w:rsidR="00DE2713" w:rsidRPr="00B608F3" w:rsidRDefault="00DE2713" w:rsidP="00170CC3">
      <w:pPr>
        <w:spacing w:after="120" w:line="240" w:lineRule="auto"/>
        <w:jc w:val="both"/>
        <w:rPr>
          <w:lang w:val="fr-BE"/>
        </w:rPr>
      </w:pPr>
    </w:p>
    <w:p w14:paraId="35B903D0" w14:textId="77777777" w:rsidR="00142B82" w:rsidRPr="00B608F3" w:rsidRDefault="00142B82" w:rsidP="00170CC3">
      <w:pPr>
        <w:spacing w:after="120" w:line="240" w:lineRule="auto"/>
        <w:jc w:val="both"/>
        <w:rPr>
          <w:b/>
          <w:lang w:val="fr-BE"/>
        </w:rPr>
      </w:pPr>
      <w:r w:rsidRPr="00B608F3">
        <w:rPr>
          <w:b/>
          <w:lang w:val="fr-BE"/>
        </w:rPr>
        <w:t>Qui?</w:t>
      </w:r>
    </w:p>
    <w:p w14:paraId="15D40FAB" w14:textId="77777777" w:rsidR="00142B82" w:rsidRPr="00B608F3" w:rsidRDefault="00142B82" w:rsidP="00E920AE">
      <w:pPr>
        <w:spacing w:after="120" w:line="240" w:lineRule="auto"/>
        <w:jc w:val="both"/>
        <w:rPr>
          <w:lang w:val="fr-BE"/>
        </w:rPr>
      </w:pPr>
      <w:r w:rsidRPr="00B608F3">
        <w:rPr>
          <w:lang w:val="fr-BE"/>
        </w:rPr>
        <w:t>Les candidats à ce financement doivent:</w:t>
      </w:r>
    </w:p>
    <w:p w14:paraId="0369C314" w14:textId="6DBA7E1F" w:rsidR="00142B82" w:rsidRPr="00B608F3" w:rsidRDefault="00142B82" w:rsidP="00170CC3">
      <w:pPr>
        <w:pStyle w:val="Paragraphedeliste"/>
        <w:numPr>
          <w:ilvl w:val="0"/>
          <w:numId w:val="1"/>
        </w:numPr>
        <w:spacing w:after="120" w:line="240" w:lineRule="auto"/>
        <w:ind w:left="360"/>
        <w:jc w:val="both"/>
        <w:rPr>
          <w:lang w:val="fr-BE"/>
        </w:rPr>
      </w:pPr>
      <w:r w:rsidRPr="00B608F3">
        <w:rPr>
          <w:lang w:val="fr-BE"/>
        </w:rPr>
        <w:t>Être une personne de droit moral</w:t>
      </w:r>
      <w:r w:rsidR="00E920AE" w:rsidRPr="00B608F3">
        <w:rPr>
          <w:lang w:val="fr-BE"/>
        </w:rPr>
        <w:t xml:space="preserve"> (</w:t>
      </w:r>
      <w:r w:rsidR="005C0EAD">
        <w:rPr>
          <w:lang w:val="fr-BE"/>
        </w:rPr>
        <w:t>personne morale physique, société ou associative)</w:t>
      </w:r>
      <w:r w:rsidR="00E920AE" w:rsidRPr="00B608F3">
        <w:rPr>
          <w:lang w:val="fr-BE"/>
        </w:rPr>
        <w:t xml:space="preserve">, </w:t>
      </w:r>
      <w:r w:rsidRPr="00B608F3">
        <w:rPr>
          <w:lang w:val="fr-BE"/>
        </w:rPr>
        <w:t>légalement enregistrée au Mali depuis au moins le 1</w:t>
      </w:r>
      <w:r w:rsidRPr="00B608F3">
        <w:rPr>
          <w:vertAlign w:val="superscript"/>
          <w:lang w:val="fr-BE"/>
        </w:rPr>
        <w:t>er</w:t>
      </w:r>
      <w:r w:rsidRPr="00B608F3">
        <w:rPr>
          <w:lang w:val="fr-BE"/>
        </w:rPr>
        <w:t xml:space="preserve"> janvier 2018</w:t>
      </w:r>
    </w:p>
    <w:p w14:paraId="0B6D9356" w14:textId="66EDF617" w:rsidR="00142B82" w:rsidRPr="00B608F3" w:rsidRDefault="00142B82" w:rsidP="00170CC3">
      <w:pPr>
        <w:pStyle w:val="Paragraphedeliste"/>
        <w:numPr>
          <w:ilvl w:val="0"/>
          <w:numId w:val="1"/>
        </w:numPr>
        <w:spacing w:after="120" w:line="240" w:lineRule="auto"/>
        <w:ind w:left="360"/>
        <w:jc w:val="both"/>
        <w:rPr>
          <w:lang w:val="fr-BE"/>
        </w:rPr>
      </w:pPr>
      <w:r w:rsidRPr="00B608F3">
        <w:rPr>
          <w:lang w:val="fr-BE"/>
        </w:rPr>
        <w:t xml:space="preserve">Avoir une expérience avérée dans l'organisation et la gestion du </w:t>
      </w:r>
      <w:r w:rsidR="00026415" w:rsidRPr="00B608F3">
        <w:rPr>
          <w:lang w:val="fr-BE"/>
        </w:rPr>
        <w:t xml:space="preserve">type </w:t>
      </w:r>
      <w:r w:rsidRPr="00B608F3">
        <w:rPr>
          <w:lang w:val="fr-BE"/>
        </w:rPr>
        <w:t>d'activités proposées</w:t>
      </w:r>
      <w:r w:rsidR="00AB53EF">
        <w:rPr>
          <w:lang w:val="fr-BE"/>
        </w:rPr>
        <w:t>.</w:t>
      </w:r>
    </w:p>
    <w:p w14:paraId="05B9FF25" w14:textId="77777777" w:rsidR="00142B82" w:rsidRPr="00B608F3" w:rsidRDefault="00142B82" w:rsidP="00170CC3">
      <w:pPr>
        <w:spacing w:after="120" w:line="240" w:lineRule="auto"/>
        <w:jc w:val="both"/>
        <w:rPr>
          <w:lang w:val="fr-BE"/>
        </w:rPr>
      </w:pPr>
    </w:p>
    <w:p w14:paraId="4B7DEB0F" w14:textId="77777777" w:rsidR="00142B82" w:rsidRPr="00B608F3" w:rsidRDefault="00142B82" w:rsidP="00170CC3">
      <w:pPr>
        <w:spacing w:after="120" w:line="240" w:lineRule="auto"/>
        <w:jc w:val="both"/>
        <w:rPr>
          <w:b/>
          <w:lang w:val="fr-BE"/>
        </w:rPr>
      </w:pPr>
      <w:r w:rsidRPr="00B608F3">
        <w:rPr>
          <w:b/>
          <w:lang w:val="fr-BE"/>
        </w:rPr>
        <w:t>Combien?</w:t>
      </w:r>
    </w:p>
    <w:p w14:paraId="38AF7644" w14:textId="3C4D6018" w:rsidR="002B6E0B" w:rsidRDefault="002B6E0B" w:rsidP="00AB53EF">
      <w:pPr>
        <w:pStyle w:val="Paragraphedeliste"/>
        <w:numPr>
          <w:ilvl w:val="0"/>
          <w:numId w:val="1"/>
        </w:numPr>
        <w:spacing w:after="120"/>
        <w:ind w:left="360"/>
        <w:jc w:val="both"/>
        <w:rPr>
          <w:lang w:val="fr-BE"/>
        </w:rPr>
      </w:pPr>
      <w:r w:rsidRPr="00B608F3">
        <w:rPr>
          <w:lang w:val="fr-BE"/>
        </w:rPr>
        <w:t xml:space="preserve">Montant total maximum de l'enveloppe </w:t>
      </w:r>
      <w:r w:rsidR="00C50695" w:rsidRPr="00B608F3">
        <w:rPr>
          <w:lang w:val="fr-BE"/>
        </w:rPr>
        <w:t>disponible :</w:t>
      </w:r>
      <w:r w:rsidRPr="00B608F3">
        <w:rPr>
          <w:lang w:val="fr-BE"/>
        </w:rPr>
        <w:t xml:space="preserve"> FCFA </w:t>
      </w:r>
      <w:r w:rsidR="00C50695">
        <w:rPr>
          <w:lang w:val="fr-BE"/>
        </w:rPr>
        <w:t xml:space="preserve">262 382 800 soit </w:t>
      </w:r>
      <w:r w:rsidR="00AE168A">
        <w:rPr>
          <w:lang w:val="fr-BE"/>
        </w:rPr>
        <w:t>400 000 euros</w:t>
      </w:r>
      <w:r w:rsidR="00C50695">
        <w:rPr>
          <w:lang w:val="fr-BE"/>
        </w:rPr>
        <w:t xml:space="preserve"> pour les actions devant se dérouler en 2020 et celles de 2021</w:t>
      </w:r>
      <w:r w:rsidR="00AE168A">
        <w:rPr>
          <w:lang w:val="fr-BE"/>
        </w:rPr>
        <w:t xml:space="preserve"> ; </w:t>
      </w:r>
      <w:r w:rsidR="00C94854">
        <w:rPr>
          <w:lang w:val="fr-BE"/>
        </w:rPr>
        <w:t>la répartition indicative de cette enveloppe est de 150 000 euros pour 2020 et 250 000 euros pour 2021. La CONFED en accord avec la Délégation de l’Union européenne se réserve le droit de ne pas attribuer la totalité des ressources sus indiquées.  Les ressources non utilisées en 2020 peuvent être affectées aux actions de 2021.</w:t>
      </w:r>
    </w:p>
    <w:p w14:paraId="7B268787" w14:textId="702FD4B0" w:rsidR="00C50695" w:rsidRPr="00B608F3" w:rsidRDefault="00C50695" w:rsidP="00AB53EF">
      <w:pPr>
        <w:pStyle w:val="Paragraphedeliste"/>
        <w:numPr>
          <w:ilvl w:val="0"/>
          <w:numId w:val="1"/>
        </w:numPr>
        <w:spacing w:after="120"/>
        <w:ind w:left="360"/>
        <w:jc w:val="both"/>
        <w:rPr>
          <w:lang w:val="fr-BE"/>
        </w:rPr>
      </w:pPr>
      <w:r w:rsidRPr="00B608F3">
        <w:rPr>
          <w:lang w:val="fr-BE"/>
        </w:rPr>
        <w:t>Montant m</w:t>
      </w:r>
      <w:r>
        <w:rPr>
          <w:lang w:val="fr-BE"/>
        </w:rPr>
        <w:t>inimum</w:t>
      </w:r>
      <w:r w:rsidRPr="00B608F3">
        <w:rPr>
          <w:lang w:val="fr-BE"/>
        </w:rPr>
        <w:t xml:space="preserve"> de la contribution de l'UE</w:t>
      </w:r>
      <w:r>
        <w:rPr>
          <w:lang w:val="fr-BE"/>
        </w:rPr>
        <w:t xml:space="preserve"> pour chaque candidature</w:t>
      </w:r>
      <w:r w:rsidRPr="00B608F3">
        <w:rPr>
          <w:lang w:val="fr-BE"/>
        </w:rPr>
        <w:t xml:space="preserve"> : FCFA </w:t>
      </w:r>
      <w:r>
        <w:rPr>
          <w:lang w:val="fr-BE"/>
        </w:rPr>
        <w:t>6 559 57</w:t>
      </w:r>
      <w:r w:rsidRPr="00B608F3">
        <w:rPr>
          <w:lang w:val="fr-BE"/>
        </w:rPr>
        <w:t>0</w:t>
      </w:r>
      <w:r>
        <w:rPr>
          <w:lang w:val="fr-BE"/>
        </w:rPr>
        <w:t xml:space="preserve"> soit 10 000 euros</w:t>
      </w:r>
    </w:p>
    <w:p w14:paraId="3E58E40C" w14:textId="54E5365C" w:rsidR="00142B82" w:rsidRPr="001732EE" w:rsidRDefault="00DD30DA" w:rsidP="00AB53EF">
      <w:pPr>
        <w:pStyle w:val="Paragraphedeliste"/>
        <w:numPr>
          <w:ilvl w:val="0"/>
          <w:numId w:val="1"/>
        </w:numPr>
        <w:spacing w:after="120"/>
        <w:ind w:left="360"/>
        <w:jc w:val="both"/>
        <w:rPr>
          <w:lang w:val="fr-BE"/>
        </w:rPr>
      </w:pPr>
      <w:r w:rsidRPr="001732EE">
        <w:rPr>
          <w:lang w:val="fr-BE"/>
        </w:rPr>
        <w:t>Montant maximal de la contribution de l'UE</w:t>
      </w:r>
      <w:r w:rsidR="00C619E7" w:rsidRPr="001732EE">
        <w:rPr>
          <w:lang w:val="fr-BE"/>
        </w:rPr>
        <w:t xml:space="preserve"> pour chaque </w:t>
      </w:r>
      <w:r w:rsidR="00C50695" w:rsidRPr="001732EE">
        <w:rPr>
          <w:lang w:val="fr-BE"/>
        </w:rPr>
        <w:t>candidature :</w:t>
      </w:r>
      <w:r w:rsidRPr="001732EE">
        <w:rPr>
          <w:lang w:val="fr-BE"/>
        </w:rPr>
        <w:t xml:space="preserve"> </w:t>
      </w:r>
      <w:r w:rsidR="009842DF" w:rsidRPr="001732EE">
        <w:rPr>
          <w:lang w:val="fr-BE"/>
        </w:rPr>
        <w:t>FCFA</w:t>
      </w:r>
      <w:r w:rsidR="001732EE" w:rsidRPr="001732EE">
        <w:rPr>
          <w:lang w:val="fr-BE"/>
        </w:rPr>
        <w:t xml:space="preserve"> 13 119 140 soit 20.000 euros</w:t>
      </w:r>
    </w:p>
    <w:p w14:paraId="4B85EF92" w14:textId="382F6F47" w:rsidR="00DE2713" w:rsidRDefault="00DD30DA" w:rsidP="00B25732">
      <w:pPr>
        <w:pStyle w:val="Paragraphedeliste"/>
        <w:numPr>
          <w:ilvl w:val="0"/>
          <w:numId w:val="1"/>
        </w:numPr>
        <w:spacing w:after="120"/>
        <w:ind w:left="360"/>
        <w:jc w:val="both"/>
        <w:rPr>
          <w:lang w:val="fr-BE"/>
        </w:rPr>
      </w:pPr>
      <w:r w:rsidRPr="001732EE">
        <w:rPr>
          <w:lang w:val="fr-BE"/>
        </w:rPr>
        <w:t>Ce montant sera versé sous</w:t>
      </w:r>
      <w:r w:rsidRPr="00B608F3">
        <w:rPr>
          <w:lang w:val="fr-BE"/>
        </w:rPr>
        <w:t xml:space="preserve"> form</w:t>
      </w:r>
      <w:r w:rsidR="003626B2" w:rsidRPr="00B608F3">
        <w:rPr>
          <w:lang w:val="fr-BE"/>
        </w:rPr>
        <w:t>e de contribution forfaitaire, 8</w:t>
      </w:r>
      <w:r w:rsidRPr="00B608F3">
        <w:rPr>
          <w:lang w:val="fr-BE"/>
        </w:rPr>
        <w:t xml:space="preserve">0% avant l'évènement et </w:t>
      </w:r>
      <w:r w:rsidR="003626B2" w:rsidRPr="00B608F3">
        <w:rPr>
          <w:lang w:val="fr-BE"/>
        </w:rPr>
        <w:t>2</w:t>
      </w:r>
      <w:r w:rsidRPr="00B608F3">
        <w:rPr>
          <w:lang w:val="fr-BE"/>
        </w:rPr>
        <w:t>0% après, sur base de l'atteinte des résultats annoncés.</w:t>
      </w:r>
    </w:p>
    <w:p w14:paraId="0ECCBAAE" w14:textId="77777777" w:rsidR="00B25732" w:rsidRPr="00B25732" w:rsidRDefault="00B25732" w:rsidP="00B25732">
      <w:pPr>
        <w:pStyle w:val="Paragraphedeliste"/>
        <w:spacing w:after="120"/>
        <w:ind w:left="360"/>
        <w:jc w:val="both"/>
        <w:rPr>
          <w:lang w:val="fr-BE"/>
        </w:rPr>
      </w:pPr>
    </w:p>
    <w:p w14:paraId="6C449239" w14:textId="77777777" w:rsidR="00DD30DA" w:rsidRPr="00B608F3" w:rsidRDefault="00DD30DA" w:rsidP="00170CC3">
      <w:pPr>
        <w:spacing w:after="120" w:line="240" w:lineRule="auto"/>
        <w:jc w:val="both"/>
        <w:rPr>
          <w:b/>
          <w:lang w:val="fr-BE"/>
        </w:rPr>
      </w:pPr>
      <w:r w:rsidRPr="00B608F3">
        <w:rPr>
          <w:b/>
          <w:lang w:val="fr-BE"/>
        </w:rPr>
        <w:t>Durée?</w:t>
      </w:r>
    </w:p>
    <w:p w14:paraId="1DAA7AE9" w14:textId="493B818A" w:rsidR="00DE2713" w:rsidRPr="00B608F3" w:rsidRDefault="00DD30DA" w:rsidP="00170CC3">
      <w:pPr>
        <w:pStyle w:val="Paragraphedeliste"/>
        <w:numPr>
          <w:ilvl w:val="0"/>
          <w:numId w:val="1"/>
        </w:numPr>
        <w:spacing w:after="120" w:line="240" w:lineRule="auto"/>
        <w:ind w:left="360"/>
        <w:jc w:val="both"/>
        <w:rPr>
          <w:lang w:val="fr-BE"/>
        </w:rPr>
      </w:pPr>
      <w:r w:rsidRPr="00B608F3">
        <w:rPr>
          <w:lang w:val="fr-BE"/>
        </w:rPr>
        <w:t xml:space="preserve">Le projet peut durer au maximum </w:t>
      </w:r>
      <w:r w:rsidR="002D2F2D">
        <w:rPr>
          <w:lang w:val="fr-BE"/>
        </w:rPr>
        <w:t>9</w:t>
      </w:r>
      <w:r w:rsidR="00E64F32">
        <w:rPr>
          <w:lang w:val="fr-BE"/>
        </w:rPr>
        <w:t xml:space="preserve"> </w:t>
      </w:r>
      <w:r w:rsidRPr="00B608F3">
        <w:rPr>
          <w:lang w:val="fr-BE"/>
        </w:rPr>
        <w:t>mois.</w:t>
      </w:r>
    </w:p>
    <w:p w14:paraId="3E18F4C1" w14:textId="17106F64" w:rsidR="00C619E7" w:rsidRPr="00B25732" w:rsidRDefault="00DD30DA" w:rsidP="00170CC3">
      <w:pPr>
        <w:pStyle w:val="Paragraphedeliste"/>
        <w:numPr>
          <w:ilvl w:val="0"/>
          <w:numId w:val="1"/>
        </w:numPr>
        <w:spacing w:after="120" w:line="240" w:lineRule="auto"/>
        <w:ind w:left="360"/>
        <w:jc w:val="both"/>
        <w:rPr>
          <w:lang w:val="fr-BE"/>
        </w:rPr>
      </w:pPr>
      <w:r w:rsidRPr="00B608F3">
        <w:rPr>
          <w:lang w:val="fr-BE"/>
        </w:rPr>
        <w:t xml:space="preserve">Les activités doivent être finies avant le 31 </w:t>
      </w:r>
      <w:r w:rsidR="008B4408">
        <w:rPr>
          <w:lang w:val="fr-BE"/>
        </w:rPr>
        <w:t>décembre</w:t>
      </w:r>
      <w:r w:rsidR="00C50695" w:rsidRPr="00B608F3">
        <w:rPr>
          <w:lang w:val="fr-BE"/>
        </w:rPr>
        <w:t xml:space="preserve"> </w:t>
      </w:r>
      <w:r w:rsidRPr="00B608F3">
        <w:rPr>
          <w:lang w:val="fr-BE"/>
        </w:rPr>
        <w:t>2021</w:t>
      </w:r>
      <w:r w:rsidR="00B25732">
        <w:rPr>
          <w:lang w:val="fr-BE"/>
        </w:rPr>
        <w:t>.</w:t>
      </w:r>
    </w:p>
    <w:p w14:paraId="5E7275CA" w14:textId="77777777" w:rsidR="000A136D" w:rsidRPr="00B608F3" w:rsidRDefault="000A136D" w:rsidP="00170CC3">
      <w:pPr>
        <w:spacing w:after="120" w:line="240" w:lineRule="auto"/>
        <w:jc w:val="both"/>
        <w:rPr>
          <w:b/>
          <w:lang w:val="fr-BE"/>
        </w:rPr>
      </w:pPr>
      <w:r w:rsidRPr="00B608F3">
        <w:rPr>
          <w:b/>
          <w:lang w:val="fr-BE"/>
        </w:rPr>
        <w:lastRenderedPageBreak/>
        <w:t>Quand postuler?</w:t>
      </w:r>
    </w:p>
    <w:p w14:paraId="681DB2E0" w14:textId="46A0C5E1" w:rsidR="000A136D" w:rsidRPr="00D12F36" w:rsidRDefault="000A136D" w:rsidP="000A136D">
      <w:pPr>
        <w:pStyle w:val="Paragraphedeliste"/>
        <w:numPr>
          <w:ilvl w:val="0"/>
          <w:numId w:val="1"/>
        </w:numPr>
        <w:spacing w:after="120" w:line="240" w:lineRule="auto"/>
        <w:ind w:left="360"/>
        <w:jc w:val="both"/>
        <w:rPr>
          <w:sz w:val="28"/>
          <w:szCs w:val="28"/>
          <w:lang w:val="fr-BE"/>
        </w:rPr>
      </w:pPr>
      <w:r w:rsidRPr="00D12F36">
        <w:rPr>
          <w:sz w:val="28"/>
          <w:szCs w:val="28"/>
          <w:lang w:val="fr-BE"/>
        </w:rPr>
        <w:t xml:space="preserve">C'est un appel en 2 </w:t>
      </w:r>
      <w:r w:rsidR="00E64F32" w:rsidRPr="00D12F36">
        <w:rPr>
          <w:sz w:val="28"/>
          <w:szCs w:val="28"/>
          <w:lang w:val="fr-BE"/>
        </w:rPr>
        <w:t>phases :</w:t>
      </w:r>
    </w:p>
    <w:p w14:paraId="1A9FF61B" w14:textId="1726F903" w:rsidR="00242E06" w:rsidRDefault="00E64F32" w:rsidP="00242E06">
      <w:pPr>
        <w:numPr>
          <w:ilvl w:val="0"/>
          <w:numId w:val="4"/>
        </w:numPr>
        <w:spacing w:after="160" w:line="360" w:lineRule="auto"/>
        <w:ind w:left="720"/>
        <w:contextualSpacing/>
        <w:jc w:val="both"/>
        <w:rPr>
          <w:lang w:val="fr-BE"/>
        </w:rPr>
      </w:pPr>
      <w:r w:rsidRPr="00B608F3">
        <w:rPr>
          <w:b/>
          <w:u w:val="single"/>
          <w:shd w:val="clear" w:color="auto" w:fill="DBE5F1" w:themeFill="accent1" w:themeFillTint="33"/>
          <w:lang w:val="fr-BE"/>
        </w:rPr>
        <w:t>POUR DES ACTIVITÉS DÉMARRANT EN 2020</w:t>
      </w:r>
      <w:r w:rsidR="00242E06">
        <w:rPr>
          <w:b/>
          <w:u w:val="single"/>
          <w:shd w:val="clear" w:color="auto" w:fill="DBE5F1" w:themeFill="accent1" w:themeFillTint="33"/>
          <w:lang w:val="fr-BE"/>
        </w:rPr>
        <w:t> </w:t>
      </w:r>
      <w:r w:rsidR="00242E06">
        <w:rPr>
          <w:lang w:val="fr-BE"/>
        </w:rPr>
        <w:t>:</w:t>
      </w:r>
    </w:p>
    <w:p w14:paraId="56643C2D" w14:textId="0092A206" w:rsidR="002B6E0B" w:rsidRPr="00B608F3" w:rsidRDefault="00242E06" w:rsidP="00242E06">
      <w:pPr>
        <w:spacing w:after="160" w:line="252" w:lineRule="auto"/>
        <w:ind w:left="720"/>
        <w:contextualSpacing/>
        <w:jc w:val="both"/>
        <w:rPr>
          <w:lang w:val="fr-BE"/>
        </w:rPr>
      </w:pPr>
      <w:r>
        <w:rPr>
          <w:lang w:val="fr-BE"/>
        </w:rPr>
        <w:t>L</w:t>
      </w:r>
      <w:r w:rsidR="00E173AF" w:rsidRPr="00B608F3">
        <w:rPr>
          <w:lang w:val="fr-BE"/>
        </w:rPr>
        <w:t xml:space="preserve">e dossier doit être déposé </w:t>
      </w:r>
      <w:r w:rsidR="00E173AF" w:rsidRPr="00B608F3">
        <w:rPr>
          <w:b/>
          <w:lang w:val="fr-BE"/>
        </w:rPr>
        <w:t xml:space="preserve">avant le </w:t>
      </w:r>
      <w:r w:rsidR="004329C4" w:rsidRPr="002F58B2">
        <w:rPr>
          <w:b/>
          <w:color w:val="FF0000"/>
          <w:lang w:val="fr-BE"/>
        </w:rPr>
        <w:t>1</w:t>
      </w:r>
      <w:r w:rsidR="004329C4" w:rsidRPr="00933463">
        <w:rPr>
          <w:b/>
          <w:color w:val="FF0000"/>
          <w:lang w:val="fr-BE"/>
        </w:rPr>
        <w:t>7</w:t>
      </w:r>
      <w:r w:rsidR="004329C4" w:rsidRPr="00C94854">
        <w:rPr>
          <w:b/>
          <w:color w:val="FF0000"/>
          <w:lang w:val="fr-BE"/>
        </w:rPr>
        <w:t xml:space="preserve"> </w:t>
      </w:r>
      <w:r w:rsidR="00B25732" w:rsidRPr="002F58B2">
        <w:rPr>
          <w:b/>
          <w:color w:val="FF0000"/>
          <w:lang w:val="fr-BE"/>
        </w:rPr>
        <w:t>août 2020</w:t>
      </w:r>
      <w:r w:rsidR="00E173AF" w:rsidRPr="00B608F3">
        <w:rPr>
          <w:b/>
          <w:lang w:val="fr-BE"/>
        </w:rPr>
        <w:t>, 12h00 (heure de Bamako)</w:t>
      </w:r>
      <w:r w:rsidR="00E173AF" w:rsidRPr="00B608F3">
        <w:rPr>
          <w:lang w:val="fr-BE"/>
        </w:rPr>
        <w:t>. Tout dossier remis après cette date et cette heure ne sera pas considéré.</w:t>
      </w:r>
    </w:p>
    <w:p w14:paraId="78D7B3CD" w14:textId="34A68C69" w:rsidR="00E64F32" w:rsidRDefault="00E64F32" w:rsidP="00736522">
      <w:pPr>
        <w:spacing w:after="160" w:line="252" w:lineRule="auto"/>
        <w:ind w:left="720"/>
        <w:contextualSpacing/>
        <w:jc w:val="both"/>
        <w:rPr>
          <w:lang w:val="fr-BE"/>
        </w:rPr>
      </w:pPr>
      <w:r>
        <w:rPr>
          <w:lang w:val="fr-BE"/>
        </w:rPr>
        <w:t>Aucune</w:t>
      </w:r>
      <w:r w:rsidR="002B6E0B" w:rsidRPr="00B608F3">
        <w:rPr>
          <w:lang w:val="fr-BE"/>
        </w:rPr>
        <w:t xml:space="preserve"> réunion d'information </w:t>
      </w:r>
      <w:r>
        <w:rPr>
          <w:lang w:val="fr-BE"/>
        </w:rPr>
        <w:t xml:space="preserve">ne sera organisée. Les </w:t>
      </w:r>
      <w:r w:rsidR="003C6D08">
        <w:rPr>
          <w:lang w:val="fr-BE"/>
        </w:rPr>
        <w:t>demandeurs qui</w:t>
      </w:r>
      <w:r>
        <w:rPr>
          <w:lang w:val="fr-BE"/>
        </w:rPr>
        <w:t xml:space="preserve"> le souhaitent peuvent poser les questions d’éclaircissements et les réponses seront publiées sur les sites</w:t>
      </w:r>
      <w:r w:rsidR="00736522">
        <w:rPr>
          <w:lang w:val="fr-BE"/>
        </w:rPr>
        <w:t xml:space="preserve"> web</w:t>
      </w:r>
      <w:r>
        <w:rPr>
          <w:lang w:val="fr-BE"/>
        </w:rPr>
        <w:t xml:space="preserve"> suivants de la CONFED et de la D</w:t>
      </w:r>
      <w:r w:rsidR="00736522">
        <w:rPr>
          <w:lang w:val="fr-BE"/>
        </w:rPr>
        <w:t>élégation de l’</w:t>
      </w:r>
      <w:r w:rsidR="00023A9C">
        <w:rPr>
          <w:lang w:val="fr-BE"/>
        </w:rPr>
        <w:t>UE au Mali : *</w:t>
      </w:r>
      <w:r>
        <w:rPr>
          <w:lang w:val="fr-BE"/>
        </w:rPr>
        <w:t xml:space="preserve"> </w:t>
      </w:r>
      <w:hyperlink r:id="rId7" w:history="1">
        <w:r w:rsidR="00023A9C" w:rsidRPr="005857AA">
          <w:rPr>
            <w:rStyle w:val="Lienhypertexte"/>
            <w:lang w:val="fr-BE"/>
          </w:rPr>
          <w:t>www.confedmali.net</w:t>
        </w:r>
      </w:hyperlink>
      <w:r w:rsidR="00736522">
        <w:rPr>
          <w:lang w:val="fr-BE"/>
        </w:rPr>
        <w:t xml:space="preserve"> et </w:t>
      </w:r>
      <w:hyperlink r:id="rId8" w:history="1">
        <w:r w:rsidR="00736522" w:rsidRPr="005857AA">
          <w:rPr>
            <w:rStyle w:val="Lienhypertexte"/>
            <w:lang w:val="fr-BE"/>
          </w:rPr>
          <w:t>www.coopération-ue-mali.ml</w:t>
        </w:r>
      </w:hyperlink>
      <w:r w:rsidR="00736522">
        <w:rPr>
          <w:lang w:val="fr-BE"/>
        </w:rPr>
        <w:t xml:space="preserve"> </w:t>
      </w:r>
    </w:p>
    <w:p w14:paraId="5E656D67" w14:textId="49FE47BF" w:rsidR="002B6E0B" w:rsidRPr="00B608F3" w:rsidRDefault="00E64F32" w:rsidP="002B6E0B">
      <w:pPr>
        <w:spacing w:after="160" w:line="252" w:lineRule="auto"/>
        <w:ind w:left="720"/>
        <w:contextualSpacing/>
        <w:jc w:val="both"/>
        <w:rPr>
          <w:lang w:val="fr-BE"/>
        </w:rPr>
      </w:pPr>
      <w:r>
        <w:rPr>
          <w:lang w:val="fr-BE"/>
        </w:rPr>
        <w:t xml:space="preserve">Les questions d’éclaircissements devront être posées avant la date du </w:t>
      </w:r>
      <w:r w:rsidRPr="00D12F36">
        <w:rPr>
          <w:b/>
          <w:bCs/>
          <w:lang w:val="fr-BE"/>
        </w:rPr>
        <w:t>mardi 28 juillet 2020</w:t>
      </w:r>
      <w:r>
        <w:rPr>
          <w:lang w:val="fr-BE"/>
        </w:rPr>
        <w:t xml:space="preserve">.  Les réponses aux questions d’éclaircissements seront également publiées au plus tard le jeudi 06 août 2020 </w:t>
      </w:r>
    </w:p>
    <w:p w14:paraId="54F1EF96" w14:textId="7E67B04D" w:rsidR="00E64F32" w:rsidRPr="00B25732" w:rsidRDefault="002B6E0B" w:rsidP="002B6E0B">
      <w:pPr>
        <w:spacing w:after="160" w:line="252" w:lineRule="auto"/>
        <w:ind w:left="720"/>
        <w:contextualSpacing/>
        <w:jc w:val="both"/>
        <w:rPr>
          <w:lang w:val="fr-BE"/>
        </w:rPr>
      </w:pPr>
      <w:r w:rsidRPr="00B608F3">
        <w:rPr>
          <w:lang w:val="fr-BE"/>
        </w:rPr>
        <w:t xml:space="preserve">Si vous avez des questions, merci de les adresser </w:t>
      </w:r>
      <w:r w:rsidR="003C6D08">
        <w:rPr>
          <w:lang w:val="fr-BE"/>
        </w:rPr>
        <w:t xml:space="preserve">avant le </w:t>
      </w:r>
      <w:r w:rsidR="003C6D08" w:rsidRPr="00D12F36">
        <w:rPr>
          <w:b/>
          <w:bCs/>
          <w:lang w:val="fr-BE"/>
        </w:rPr>
        <w:t>mardi 28 juillet 2020</w:t>
      </w:r>
      <w:r w:rsidR="003C6D08">
        <w:rPr>
          <w:lang w:val="fr-BE"/>
        </w:rPr>
        <w:t xml:space="preserve"> </w:t>
      </w:r>
      <w:r w:rsidRPr="00B608F3">
        <w:rPr>
          <w:lang w:val="fr-BE"/>
        </w:rPr>
        <w:t>à l'adresse email suivante</w:t>
      </w:r>
      <w:r w:rsidR="003C6D08">
        <w:rPr>
          <w:lang w:val="fr-BE"/>
        </w:rPr>
        <w:t> :</w:t>
      </w:r>
      <w:r w:rsidRPr="00B608F3">
        <w:rPr>
          <w:lang w:val="fr-BE"/>
        </w:rPr>
        <w:t xml:space="preserve"> </w:t>
      </w:r>
      <w:hyperlink r:id="rId9" w:history="1">
        <w:r w:rsidR="007036F7" w:rsidRPr="00B25732">
          <w:rPr>
            <w:rStyle w:val="Lienhypertexte"/>
            <w:lang w:val="fr-BE"/>
          </w:rPr>
          <w:t>confed@confedmali.net</w:t>
        </w:r>
      </w:hyperlink>
      <w:r w:rsidRPr="00B25732">
        <w:rPr>
          <w:lang w:val="fr-BE"/>
        </w:rPr>
        <w:t xml:space="preserve">. </w:t>
      </w:r>
    </w:p>
    <w:p w14:paraId="57360962" w14:textId="77777777" w:rsidR="00E64F32" w:rsidRDefault="00E64F32" w:rsidP="002B6E0B">
      <w:pPr>
        <w:spacing w:after="160" w:line="252" w:lineRule="auto"/>
        <w:ind w:left="720"/>
        <w:contextualSpacing/>
        <w:jc w:val="both"/>
        <w:rPr>
          <w:lang w:val="fr-BE"/>
        </w:rPr>
      </w:pPr>
    </w:p>
    <w:p w14:paraId="7422E733" w14:textId="6016BD6A" w:rsidR="002B6E0B" w:rsidRDefault="002B6E0B" w:rsidP="002B6E0B">
      <w:pPr>
        <w:spacing w:after="160" w:line="252" w:lineRule="auto"/>
        <w:ind w:left="720"/>
        <w:contextualSpacing/>
        <w:jc w:val="both"/>
        <w:rPr>
          <w:lang w:val="fr-BE"/>
        </w:rPr>
      </w:pPr>
      <w:r w:rsidRPr="00B608F3">
        <w:rPr>
          <w:lang w:val="fr-BE"/>
        </w:rPr>
        <w:t>Toute question envoyée à d'autres adresses ou après cette date ne recevra pas de réponse officielle.</w:t>
      </w:r>
    </w:p>
    <w:p w14:paraId="636D687E" w14:textId="3EF24580" w:rsidR="003C6D08" w:rsidRDefault="003C6D08" w:rsidP="002B6E0B">
      <w:pPr>
        <w:spacing w:after="160" w:line="252" w:lineRule="auto"/>
        <w:ind w:left="720"/>
        <w:contextualSpacing/>
        <w:jc w:val="both"/>
        <w:rPr>
          <w:lang w:val="fr-BE"/>
        </w:rPr>
      </w:pPr>
      <w:r>
        <w:rPr>
          <w:lang w:val="fr-BE"/>
        </w:rPr>
        <w:t xml:space="preserve">Les contrats des demandes acceptées pour financement pourront être signés en septembre/octobre 2020. </w:t>
      </w:r>
    </w:p>
    <w:p w14:paraId="6F61227A" w14:textId="77777777" w:rsidR="00242E06" w:rsidRPr="00B608F3" w:rsidRDefault="00242E06" w:rsidP="002B6E0B">
      <w:pPr>
        <w:spacing w:after="160" w:line="252" w:lineRule="auto"/>
        <w:ind w:left="720"/>
        <w:contextualSpacing/>
        <w:jc w:val="both"/>
        <w:rPr>
          <w:lang w:val="fr-BE"/>
        </w:rPr>
      </w:pPr>
    </w:p>
    <w:p w14:paraId="1005373D" w14:textId="6AE05742" w:rsidR="003C6D08" w:rsidRPr="00242E06" w:rsidRDefault="003C6D08" w:rsidP="00242E06">
      <w:pPr>
        <w:numPr>
          <w:ilvl w:val="0"/>
          <w:numId w:val="4"/>
        </w:numPr>
        <w:spacing w:after="160" w:line="360" w:lineRule="auto"/>
        <w:ind w:left="720"/>
        <w:contextualSpacing/>
        <w:jc w:val="both"/>
        <w:rPr>
          <w:lang w:val="fr-BE"/>
        </w:rPr>
      </w:pPr>
      <w:r w:rsidRPr="00242E06">
        <w:rPr>
          <w:b/>
          <w:u w:val="single"/>
          <w:shd w:val="clear" w:color="auto" w:fill="DBE5F1" w:themeFill="accent1" w:themeFillTint="33"/>
          <w:lang w:val="fr-BE"/>
        </w:rPr>
        <w:t>POUR DES ACTIVITÉS DÉMARRANT EN 2021</w:t>
      </w:r>
      <w:r w:rsidR="00242E06">
        <w:rPr>
          <w:b/>
          <w:u w:val="single"/>
          <w:shd w:val="clear" w:color="auto" w:fill="DBE5F1" w:themeFill="accent1" w:themeFillTint="33"/>
          <w:lang w:val="fr-BE"/>
        </w:rPr>
        <w:t> </w:t>
      </w:r>
      <w:r w:rsidR="00242E06">
        <w:rPr>
          <w:lang w:val="fr-BE"/>
        </w:rPr>
        <w:t>:</w:t>
      </w:r>
    </w:p>
    <w:p w14:paraId="6CAB8535" w14:textId="3246B893" w:rsidR="003C6D08" w:rsidRPr="00B608F3" w:rsidRDefault="00242E06" w:rsidP="00242E06">
      <w:pPr>
        <w:spacing w:after="160" w:line="252" w:lineRule="auto"/>
        <w:ind w:left="720"/>
        <w:contextualSpacing/>
        <w:jc w:val="both"/>
        <w:rPr>
          <w:lang w:val="fr-BE"/>
        </w:rPr>
      </w:pPr>
      <w:r>
        <w:rPr>
          <w:lang w:val="fr-BE"/>
        </w:rPr>
        <w:t>L</w:t>
      </w:r>
      <w:r w:rsidR="003C6D08" w:rsidRPr="00B608F3">
        <w:rPr>
          <w:lang w:val="fr-BE"/>
        </w:rPr>
        <w:t xml:space="preserve">e dossier doit être déposé </w:t>
      </w:r>
      <w:r w:rsidR="003C6D08" w:rsidRPr="00B608F3">
        <w:rPr>
          <w:b/>
          <w:lang w:val="fr-BE"/>
        </w:rPr>
        <w:t xml:space="preserve">avant le </w:t>
      </w:r>
      <w:r w:rsidR="00023A9C">
        <w:rPr>
          <w:b/>
          <w:color w:val="FF0000"/>
          <w:lang w:val="fr-BE"/>
        </w:rPr>
        <w:t>15</w:t>
      </w:r>
      <w:r w:rsidR="003C6D08">
        <w:rPr>
          <w:b/>
          <w:color w:val="FF0000"/>
          <w:lang w:val="fr-BE"/>
        </w:rPr>
        <w:t xml:space="preserve"> </w:t>
      </w:r>
      <w:r w:rsidR="008D4853">
        <w:rPr>
          <w:b/>
          <w:color w:val="FF0000"/>
          <w:lang w:val="fr-BE"/>
        </w:rPr>
        <w:t xml:space="preserve">novembre </w:t>
      </w:r>
      <w:r w:rsidR="008D4853" w:rsidRPr="004329C4">
        <w:rPr>
          <w:b/>
          <w:color w:val="FF0000"/>
          <w:lang w:val="fr-BE"/>
        </w:rPr>
        <w:t>2020</w:t>
      </w:r>
      <w:r w:rsidR="003C6D08" w:rsidRPr="00B608F3">
        <w:rPr>
          <w:b/>
          <w:lang w:val="fr-BE"/>
        </w:rPr>
        <w:t>, 12h00 (heure de Bamako)</w:t>
      </w:r>
      <w:r w:rsidR="003C6D08" w:rsidRPr="00B608F3">
        <w:rPr>
          <w:lang w:val="fr-BE"/>
        </w:rPr>
        <w:t>. Tout dossier remis après cette date et cette heure ne sera pas considéré.</w:t>
      </w:r>
    </w:p>
    <w:p w14:paraId="4463AF98" w14:textId="77777777" w:rsidR="002F58B2" w:rsidRDefault="002F58B2" w:rsidP="003C6D08">
      <w:pPr>
        <w:spacing w:after="160" w:line="252" w:lineRule="auto"/>
        <w:ind w:left="720"/>
        <w:contextualSpacing/>
        <w:jc w:val="both"/>
        <w:rPr>
          <w:lang w:val="fr-BE"/>
        </w:rPr>
      </w:pPr>
    </w:p>
    <w:p w14:paraId="0B2237AC" w14:textId="336C9407" w:rsidR="003C6D08" w:rsidRDefault="002F58B2" w:rsidP="00023A9C">
      <w:pPr>
        <w:spacing w:after="160" w:line="252" w:lineRule="auto"/>
        <w:ind w:left="720"/>
        <w:contextualSpacing/>
        <w:jc w:val="both"/>
        <w:rPr>
          <w:lang w:val="fr-BE"/>
        </w:rPr>
      </w:pPr>
      <w:r>
        <w:rPr>
          <w:lang w:val="fr-BE"/>
        </w:rPr>
        <w:t xml:space="preserve">Aucune </w:t>
      </w:r>
      <w:r w:rsidRPr="00B608F3">
        <w:rPr>
          <w:lang w:val="fr-BE"/>
        </w:rPr>
        <w:t>réunion</w:t>
      </w:r>
      <w:r w:rsidR="003C6D08" w:rsidRPr="00B608F3">
        <w:rPr>
          <w:lang w:val="fr-BE"/>
        </w:rPr>
        <w:t xml:space="preserve"> d'information </w:t>
      </w:r>
      <w:r w:rsidR="003C6D08">
        <w:rPr>
          <w:lang w:val="fr-BE"/>
        </w:rPr>
        <w:t xml:space="preserve">ne sera organisée. Les </w:t>
      </w:r>
      <w:r>
        <w:rPr>
          <w:lang w:val="fr-BE"/>
        </w:rPr>
        <w:t>demandeurs qui</w:t>
      </w:r>
      <w:r w:rsidR="003C6D08">
        <w:rPr>
          <w:lang w:val="fr-BE"/>
        </w:rPr>
        <w:t xml:space="preserve"> le souhaitent peuvent poser les questions d’éclaircissements et les réponses seront publiées sur les sites suivants de la CONFED et de la DUE au Mali :* </w:t>
      </w:r>
      <w:hyperlink r:id="rId10" w:history="1">
        <w:r w:rsidR="003C6D08" w:rsidRPr="00D920B5">
          <w:rPr>
            <w:rStyle w:val="Lienhypertexte"/>
            <w:lang w:val="fr-BE"/>
          </w:rPr>
          <w:t>www.confedmali.net</w:t>
        </w:r>
      </w:hyperlink>
      <w:r w:rsidR="00023A9C">
        <w:rPr>
          <w:lang w:val="fr-BE"/>
        </w:rPr>
        <w:t xml:space="preserve"> et </w:t>
      </w:r>
      <w:hyperlink r:id="rId11" w:history="1">
        <w:r w:rsidR="00023A9C" w:rsidRPr="005857AA">
          <w:rPr>
            <w:rStyle w:val="Lienhypertexte"/>
            <w:lang w:val="fr-BE"/>
          </w:rPr>
          <w:t>www.coopération-ue-mali.ml</w:t>
        </w:r>
      </w:hyperlink>
      <w:r w:rsidR="00023A9C">
        <w:rPr>
          <w:lang w:val="fr-BE"/>
        </w:rPr>
        <w:t xml:space="preserve"> </w:t>
      </w:r>
    </w:p>
    <w:p w14:paraId="1D918749" w14:textId="77777777" w:rsidR="002F58B2" w:rsidRDefault="002F58B2" w:rsidP="003C6D08">
      <w:pPr>
        <w:spacing w:after="160" w:line="252" w:lineRule="auto"/>
        <w:ind w:left="720"/>
        <w:contextualSpacing/>
        <w:jc w:val="both"/>
        <w:rPr>
          <w:lang w:val="fr-BE"/>
        </w:rPr>
      </w:pPr>
    </w:p>
    <w:p w14:paraId="3ABE66E0" w14:textId="7706B129" w:rsidR="003C6D08" w:rsidRPr="00D12F36" w:rsidRDefault="003C6D08" w:rsidP="003C6D08">
      <w:pPr>
        <w:spacing w:after="160" w:line="252" w:lineRule="auto"/>
        <w:ind w:left="720"/>
        <w:contextualSpacing/>
        <w:jc w:val="both"/>
        <w:rPr>
          <w:b/>
          <w:bCs/>
          <w:lang w:val="fr-BE"/>
        </w:rPr>
      </w:pPr>
      <w:r>
        <w:rPr>
          <w:lang w:val="fr-BE"/>
        </w:rPr>
        <w:t xml:space="preserve">Les questions d’éclaircissements devront être posées avant la date du </w:t>
      </w:r>
      <w:r w:rsidRPr="00D12F36">
        <w:rPr>
          <w:b/>
          <w:bCs/>
          <w:lang w:val="fr-BE"/>
        </w:rPr>
        <w:t xml:space="preserve">mardi </w:t>
      </w:r>
      <w:r w:rsidR="00023A9C">
        <w:rPr>
          <w:b/>
          <w:bCs/>
          <w:lang w:val="fr-BE"/>
        </w:rPr>
        <w:t>03</w:t>
      </w:r>
      <w:r w:rsidR="002F58B2" w:rsidRPr="00D12F36">
        <w:rPr>
          <w:b/>
          <w:bCs/>
          <w:lang w:val="fr-BE"/>
        </w:rPr>
        <w:t xml:space="preserve"> novembre</w:t>
      </w:r>
      <w:r w:rsidRPr="00D12F36">
        <w:rPr>
          <w:b/>
          <w:bCs/>
          <w:lang w:val="fr-BE"/>
        </w:rPr>
        <w:t xml:space="preserve"> 2020</w:t>
      </w:r>
      <w:r>
        <w:rPr>
          <w:lang w:val="fr-BE"/>
        </w:rPr>
        <w:t xml:space="preserve">.  Les réponses aux questions d’éclaircissements seront également publiées au plus tard </w:t>
      </w:r>
      <w:r w:rsidRPr="00D12F36">
        <w:rPr>
          <w:b/>
          <w:bCs/>
          <w:lang w:val="fr-BE"/>
        </w:rPr>
        <w:t>le</w:t>
      </w:r>
      <w:r w:rsidR="00023A9C">
        <w:rPr>
          <w:b/>
          <w:bCs/>
          <w:lang w:val="fr-BE"/>
        </w:rPr>
        <w:t xml:space="preserve"> vendredi 06</w:t>
      </w:r>
      <w:r w:rsidR="002F58B2" w:rsidRPr="00D12F36">
        <w:rPr>
          <w:b/>
          <w:bCs/>
          <w:lang w:val="fr-BE"/>
        </w:rPr>
        <w:t xml:space="preserve"> novembre </w:t>
      </w:r>
      <w:r w:rsidRPr="00D12F36">
        <w:rPr>
          <w:b/>
          <w:bCs/>
          <w:lang w:val="fr-BE"/>
        </w:rPr>
        <w:t xml:space="preserve">2020 </w:t>
      </w:r>
    </w:p>
    <w:p w14:paraId="357D6B5A" w14:textId="14DC4370" w:rsidR="003C6D08" w:rsidRPr="008D4853" w:rsidRDefault="003C6D08" w:rsidP="003C6D08">
      <w:pPr>
        <w:spacing w:after="160" w:line="252" w:lineRule="auto"/>
        <w:ind w:left="720"/>
        <w:contextualSpacing/>
        <w:jc w:val="both"/>
        <w:rPr>
          <w:lang w:val="fr-BE"/>
        </w:rPr>
      </w:pPr>
      <w:r w:rsidRPr="00B608F3">
        <w:rPr>
          <w:lang w:val="fr-BE"/>
        </w:rPr>
        <w:t>Si vous avez des questions, merci de les adresser</w:t>
      </w:r>
      <w:r w:rsidR="002F58B2">
        <w:rPr>
          <w:lang w:val="fr-BE"/>
        </w:rPr>
        <w:t xml:space="preserve">, </w:t>
      </w:r>
      <w:r w:rsidR="005577B6">
        <w:rPr>
          <w:b/>
          <w:bCs/>
          <w:lang w:val="fr-BE"/>
        </w:rPr>
        <w:t xml:space="preserve">avant le mardi </w:t>
      </w:r>
      <w:r w:rsidR="002F58B2" w:rsidRPr="00D12F36">
        <w:rPr>
          <w:b/>
          <w:bCs/>
          <w:lang w:val="fr-BE"/>
        </w:rPr>
        <w:t>0</w:t>
      </w:r>
      <w:r w:rsidR="005577B6">
        <w:rPr>
          <w:b/>
          <w:bCs/>
          <w:lang w:val="fr-BE"/>
        </w:rPr>
        <w:t>3</w:t>
      </w:r>
      <w:r w:rsidR="002F58B2" w:rsidRPr="00D12F36">
        <w:rPr>
          <w:b/>
          <w:bCs/>
          <w:lang w:val="fr-BE"/>
        </w:rPr>
        <w:t xml:space="preserve"> novembre</w:t>
      </w:r>
      <w:r w:rsidR="009E2F88">
        <w:rPr>
          <w:b/>
          <w:bCs/>
          <w:lang w:val="fr-BE"/>
        </w:rPr>
        <w:t xml:space="preserve"> </w:t>
      </w:r>
      <w:r w:rsidR="002F58B2" w:rsidRPr="00D12F36">
        <w:rPr>
          <w:b/>
          <w:bCs/>
          <w:lang w:val="fr-BE"/>
        </w:rPr>
        <w:t>2020</w:t>
      </w:r>
      <w:r w:rsidR="002F58B2">
        <w:rPr>
          <w:lang w:val="fr-BE"/>
        </w:rPr>
        <w:t>,</w:t>
      </w:r>
      <w:r w:rsidRPr="00B608F3">
        <w:rPr>
          <w:lang w:val="fr-BE"/>
        </w:rPr>
        <w:t xml:space="preserve"> à l'adresse email suivante</w:t>
      </w:r>
      <w:r w:rsidR="005577B6">
        <w:rPr>
          <w:lang w:val="fr-BE"/>
        </w:rPr>
        <w:t> :</w:t>
      </w:r>
      <w:r w:rsidRPr="00B608F3">
        <w:rPr>
          <w:lang w:val="fr-BE"/>
        </w:rPr>
        <w:t xml:space="preserve"> </w:t>
      </w:r>
      <w:r w:rsidR="002F58B2">
        <w:rPr>
          <w:lang w:val="fr-BE"/>
        </w:rPr>
        <w:t xml:space="preserve"> </w:t>
      </w:r>
      <w:hyperlink r:id="rId12" w:history="1">
        <w:r w:rsidR="002F58B2" w:rsidRPr="008D4853">
          <w:rPr>
            <w:rStyle w:val="Lienhypertexte"/>
            <w:b/>
            <w:bCs/>
            <w:lang w:val="fr-BE"/>
          </w:rPr>
          <w:t>confed@confedmali.net</w:t>
        </w:r>
      </w:hyperlink>
      <w:r w:rsidRPr="008D4853">
        <w:rPr>
          <w:b/>
          <w:bCs/>
          <w:lang w:val="fr-BE"/>
        </w:rPr>
        <w:t xml:space="preserve"> </w:t>
      </w:r>
    </w:p>
    <w:p w14:paraId="278C3C94" w14:textId="77777777" w:rsidR="003C6D08" w:rsidRDefault="003C6D08" w:rsidP="003C6D08">
      <w:pPr>
        <w:spacing w:after="160" w:line="252" w:lineRule="auto"/>
        <w:ind w:left="720"/>
        <w:contextualSpacing/>
        <w:jc w:val="both"/>
        <w:rPr>
          <w:lang w:val="fr-BE"/>
        </w:rPr>
      </w:pPr>
    </w:p>
    <w:p w14:paraId="4DA8397A" w14:textId="798BAD1F" w:rsidR="007036F7" w:rsidRDefault="003C6D08" w:rsidP="00D267CF">
      <w:pPr>
        <w:spacing w:after="160" w:line="252" w:lineRule="auto"/>
        <w:ind w:left="720"/>
        <w:contextualSpacing/>
        <w:jc w:val="both"/>
        <w:rPr>
          <w:lang w:val="fr-BE"/>
        </w:rPr>
      </w:pPr>
      <w:r w:rsidRPr="00B608F3">
        <w:rPr>
          <w:lang w:val="fr-BE"/>
        </w:rPr>
        <w:t>Toute question envoyée à d'autres adresses ou après cette date ne recevra pas de réponse officielle.</w:t>
      </w:r>
    </w:p>
    <w:p w14:paraId="6C6087EC" w14:textId="6115DC4B" w:rsidR="00D267CF" w:rsidRDefault="00D267CF" w:rsidP="00D267CF">
      <w:pPr>
        <w:spacing w:after="0" w:line="240" w:lineRule="auto"/>
        <w:jc w:val="both"/>
        <w:rPr>
          <w:lang w:val="fr-BE"/>
        </w:rPr>
      </w:pPr>
      <w:r>
        <w:rPr>
          <w:lang w:val="fr-BE"/>
        </w:rPr>
        <w:t xml:space="preserve">               </w:t>
      </w:r>
      <w:r w:rsidR="002F58B2" w:rsidRPr="00D267CF">
        <w:rPr>
          <w:lang w:val="fr-BE"/>
        </w:rPr>
        <w:t>Les contrats des demandes acceptées pour financement pourront être signés en décembre</w:t>
      </w:r>
      <w:r>
        <w:rPr>
          <w:lang w:val="fr-BE"/>
        </w:rPr>
        <w:t xml:space="preserve"> 2020/  </w:t>
      </w:r>
    </w:p>
    <w:p w14:paraId="5FA19715" w14:textId="5B891BEB" w:rsidR="00D267CF" w:rsidRDefault="00D267CF" w:rsidP="00D267CF">
      <w:pPr>
        <w:spacing w:after="0" w:line="240" w:lineRule="auto"/>
        <w:jc w:val="both"/>
        <w:rPr>
          <w:lang w:val="fr-BE"/>
        </w:rPr>
      </w:pPr>
      <w:r>
        <w:rPr>
          <w:lang w:val="fr-BE"/>
        </w:rPr>
        <w:t xml:space="preserve">               </w:t>
      </w:r>
      <w:r w:rsidR="00956BEC">
        <w:rPr>
          <w:lang w:val="fr-BE"/>
        </w:rPr>
        <w:t>j</w:t>
      </w:r>
      <w:r>
        <w:rPr>
          <w:lang w:val="fr-BE"/>
        </w:rPr>
        <w:t xml:space="preserve">anvier 2021. </w:t>
      </w:r>
    </w:p>
    <w:p w14:paraId="2724A5E8" w14:textId="77777777" w:rsidR="00D267CF" w:rsidRDefault="00D267CF" w:rsidP="00D267CF">
      <w:pPr>
        <w:spacing w:after="0" w:line="240" w:lineRule="auto"/>
        <w:jc w:val="both"/>
        <w:rPr>
          <w:lang w:val="fr-BE"/>
        </w:rPr>
      </w:pPr>
    </w:p>
    <w:p w14:paraId="49B1E459" w14:textId="4C520662" w:rsidR="007D03CE" w:rsidRDefault="007D03CE" w:rsidP="00956BEC">
      <w:pPr>
        <w:spacing w:after="120" w:line="240" w:lineRule="auto"/>
        <w:ind w:left="708"/>
        <w:jc w:val="both"/>
        <w:rPr>
          <w:b/>
          <w:bCs/>
          <w:lang w:val="fr-BE"/>
        </w:rPr>
      </w:pPr>
      <w:r w:rsidRPr="00D12F36">
        <w:rPr>
          <w:b/>
          <w:bCs/>
          <w:lang w:val="fr-BE"/>
        </w:rPr>
        <w:t xml:space="preserve">Un candidat ne peut </w:t>
      </w:r>
      <w:bookmarkStart w:id="0" w:name="_GoBack"/>
      <w:r w:rsidRPr="00D12F36">
        <w:rPr>
          <w:b/>
          <w:bCs/>
          <w:lang w:val="fr-BE"/>
        </w:rPr>
        <w:t>soumettre qu'une candidature</w:t>
      </w:r>
      <w:r w:rsidR="002F58B2">
        <w:rPr>
          <w:b/>
          <w:bCs/>
          <w:lang w:val="fr-BE"/>
        </w:rPr>
        <w:t>(demande)</w:t>
      </w:r>
      <w:r w:rsidRPr="00D12F36">
        <w:rPr>
          <w:b/>
          <w:bCs/>
          <w:lang w:val="fr-BE"/>
        </w:rPr>
        <w:t xml:space="preserve"> par phase. S'il en soumet plusieurs, elles seront toutes rejetées.</w:t>
      </w:r>
      <w:r w:rsidR="00933463">
        <w:rPr>
          <w:b/>
          <w:bCs/>
          <w:lang w:val="fr-BE"/>
        </w:rPr>
        <w:t xml:space="preserve"> Également, dans la même phase, un codemandeur </w:t>
      </w:r>
      <w:bookmarkEnd w:id="0"/>
      <w:r w:rsidR="00933463">
        <w:rPr>
          <w:b/>
          <w:bCs/>
          <w:lang w:val="fr-BE"/>
        </w:rPr>
        <w:t>ne peut pas être demandeur d’un autre projet</w:t>
      </w:r>
      <w:r w:rsidR="005C0EAD">
        <w:rPr>
          <w:b/>
          <w:bCs/>
          <w:lang w:val="fr-BE"/>
        </w:rPr>
        <w:t xml:space="preserve"> soumis au financement.</w:t>
      </w:r>
      <w:r w:rsidR="00933463">
        <w:rPr>
          <w:b/>
          <w:bCs/>
          <w:lang w:val="fr-BE"/>
        </w:rPr>
        <w:t xml:space="preserve"> </w:t>
      </w:r>
    </w:p>
    <w:p w14:paraId="01CBA8D5" w14:textId="77777777" w:rsidR="00E1344A" w:rsidRPr="00D12F36" w:rsidRDefault="00E1344A" w:rsidP="00E1344A">
      <w:pPr>
        <w:spacing w:after="0" w:line="240" w:lineRule="auto"/>
        <w:ind w:left="708"/>
        <w:jc w:val="both"/>
        <w:rPr>
          <w:b/>
          <w:bCs/>
          <w:lang w:val="fr-BE"/>
        </w:rPr>
      </w:pPr>
    </w:p>
    <w:p w14:paraId="4891FACE" w14:textId="3F1DF40D" w:rsidR="000A136D" w:rsidRPr="00B608F3" w:rsidRDefault="007D03CE" w:rsidP="007036F7">
      <w:pPr>
        <w:pBdr>
          <w:top w:val="single" w:sz="4" w:space="1" w:color="auto"/>
          <w:left w:val="single" w:sz="4" w:space="4" w:color="auto"/>
          <w:bottom w:val="single" w:sz="4" w:space="1" w:color="auto"/>
          <w:right w:val="single" w:sz="4" w:space="4" w:color="auto"/>
        </w:pBdr>
        <w:spacing w:after="120" w:line="240" w:lineRule="auto"/>
        <w:jc w:val="both"/>
        <w:rPr>
          <w:lang w:val="fr-BE"/>
        </w:rPr>
      </w:pPr>
      <w:r>
        <w:rPr>
          <w:lang w:val="fr-BE"/>
        </w:rPr>
        <w:t>Par contre, l</w:t>
      </w:r>
      <w:r w:rsidR="007036F7" w:rsidRPr="00B608F3">
        <w:rPr>
          <w:lang w:val="fr-BE"/>
        </w:rPr>
        <w:t xml:space="preserve">es deux phases de candidatures sont </w:t>
      </w:r>
      <w:r w:rsidR="00933463" w:rsidRPr="00B608F3">
        <w:rPr>
          <w:lang w:val="fr-BE"/>
        </w:rPr>
        <w:t>distinctes :</w:t>
      </w:r>
      <w:r w:rsidR="007036F7" w:rsidRPr="00B608F3">
        <w:rPr>
          <w:lang w:val="fr-BE"/>
        </w:rPr>
        <w:t xml:space="preserve"> le fait de postuler à la première phase n'est pas éliminatoire pour la seconde, et le fait d'obtenir un financement lors de la première phase ne garantit pas d'en obtenir un lors de la seconde phase.</w:t>
      </w:r>
    </w:p>
    <w:p w14:paraId="234F8DD3" w14:textId="77777777" w:rsidR="000A136D" w:rsidRPr="00B608F3" w:rsidRDefault="000A136D" w:rsidP="00170CC3">
      <w:pPr>
        <w:spacing w:after="120" w:line="240" w:lineRule="auto"/>
        <w:jc w:val="both"/>
        <w:rPr>
          <w:lang w:val="fr-BE"/>
        </w:rPr>
      </w:pPr>
    </w:p>
    <w:p w14:paraId="3E009B17" w14:textId="77777777" w:rsidR="00DD30DA" w:rsidRPr="00B608F3" w:rsidRDefault="00DD30DA" w:rsidP="00170CC3">
      <w:pPr>
        <w:spacing w:after="120" w:line="240" w:lineRule="auto"/>
        <w:jc w:val="both"/>
        <w:rPr>
          <w:b/>
          <w:lang w:val="fr-BE"/>
        </w:rPr>
      </w:pPr>
      <w:r w:rsidRPr="00B608F3">
        <w:rPr>
          <w:b/>
          <w:lang w:val="fr-BE"/>
        </w:rPr>
        <w:t>Comment</w:t>
      </w:r>
      <w:r w:rsidR="005E6B4D" w:rsidRPr="00B608F3">
        <w:rPr>
          <w:b/>
          <w:lang w:val="fr-BE"/>
        </w:rPr>
        <w:t xml:space="preserve"> postuler</w:t>
      </w:r>
      <w:r w:rsidRPr="00B608F3">
        <w:rPr>
          <w:b/>
          <w:lang w:val="fr-BE"/>
        </w:rPr>
        <w:t>?</w:t>
      </w:r>
    </w:p>
    <w:p w14:paraId="384A871D" w14:textId="67877082" w:rsidR="005E6B4D" w:rsidRPr="008100B8" w:rsidRDefault="009E2F88" w:rsidP="005703B4">
      <w:pPr>
        <w:pStyle w:val="Paragraphedeliste"/>
        <w:numPr>
          <w:ilvl w:val="0"/>
          <w:numId w:val="7"/>
        </w:numPr>
        <w:spacing w:after="160"/>
        <w:jc w:val="both"/>
        <w:rPr>
          <w:lang w:val="fr-BE"/>
        </w:rPr>
      </w:pPr>
      <w:r w:rsidRPr="008100B8">
        <w:rPr>
          <w:lang w:val="fr-BE"/>
        </w:rPr>
        <w:t>Envoyer</w:t>
      </w:r>
      <w:r w:rsidR="00DD30DA" w:rsidRPr="008100B8">
        <w:rPr>
          <w:lang w:val="fr-BE"/>
        </w:rPr>
        <w:t xml:space="preserve"> </w:t>
      </w:r>
      <w:r w:rsidR="002B6E0B" w:rsidRPr="008100B8">
        <w:rPr>
          <w:u w:val="single"/>
          <w:lang w:val="fr-BE"/>
        </w:rPr>
        <w:t>dans les délais</w:t>
      </w:r>
      <w:r w:rsidR="002B6E0B" w:rsidRPr="008100B8">
        <w:rPr>
          <w:lang w:val="fr-BE"/>
        </w:rPr>
        <w:t xml:space="preserve"> </w:t>
      </w:r>
      <w:r w:rsidR="00DD30DA" w:rsidRPr="008100B8">
        <w:rPr>
          <w:lang w:val="fr-BE"/>
        </w:rPr>
        <w:t xml:space="preserve">un dossier complet (sur base du modèle </w:t>
      </w:r>
      <w:r w:rsidR="00C31E13" w:rsidRPr="008100B8">
        <w:rPr>
          <w:lang w:val="fr-BE"/>
        </w:rPr>
        <w:t>en annexe 1</w:t>
      </w:r>
      <w:r w:rsidR="00DD30DA" w:rsidRPr="008100B8">
        <w:rPr>
          <w:lang w:val="fr-BE"/>
        </w:rPr>
        <w:t xml:space="preserve">) </w:t>
      </w:r>
      <w:r w:rsidR="008100B8" w:rsidRPr="007F6018">
        <w:rPr>
          <w:b/>
          <w:u w:val="single"/>
          <w:lang w:val="fr-BE"/>
        </w:rPr>
        <w:t xml:space="preserve">uniquement </w:t>
      </w:r>
      <w:r w:rsidR="00E800E9" w:rsidRPr="007F6018">
        <w:rPr>
          <w:b/>
          <w:u w:val="single"/>
          <w:lang w:val="fr-BE"/>
        </w:rPr>
        <w:t>en version électronique</w:t>
      </w:r>
      <w:r w:rsidR="00E800E9" w:rsidRPr="008100B8">
        <w:rPr>
          <w:lang w:val="fr-BE"/>
        </w:rPr>
        <w:t xml:space="preserve"> à l’adresse suivante : </w:t>
      </w:r>
      <w:hyperlink r:id="rId13" w:history="1">
        <w:r w:rsidR="008100B8" w:rsidRPr="008100B8">
          <w:rPr>
            <w:rStyle w:val="Lienhypertexte"/>
            <w:b/>
            <w:bCs/>
            <w:sz w:val="24"/>
            <w:lang w:val="fr-BE"/>
          </w:rPr>
          <w:t>confed@confedmali.net</w:t>
        </w:r>
      </w:hyperlink>
      <w:r w:rsidR="008100B8" w:rsidRPr="008100B8">
        <w:rPr>
          <w:b/>
          <w:bCs/>
          <w:lang w:val="fr-BE"/>
        </w:rPr>
        <w:t xml:space="preserve"> </w:t>
      </w:r>
    </w:p>
    <w:p w14:paraId="3A720533" w14:textId="61CA8E3F" w:rsidR="00E800E9" w:rsidRPr="00E1344A" w:rsidRDefault="00C94854" w:rsidP="00170CC3">
      <w:pPr>
        <w:pStyle w:val="Paragraphedeliste"/>
        <w:numPr>
          <w:ilvl w:val="0"/>
          <w:numId w:val="1"/>
        </w:numPr>
        <w:spacing w:after="120" w:line="240" w:lineRule="auto"/>
        <w:ind w:left="360"/>
        <w:jc w:val="both"/>
        <w:rPr>
          <w:lang w:val="fr-BE"/>
        </w:rPr>
      </w:pPr>
      <w:r>
        <w:rPr>
          <w:lang w:val="fr-BE"/>
        </w:rPr>
        <w:t xml:space="preserve">Tout en précisant la phase 2020 ou 2021, </w:t>
      </w:r>
      <w:r w:rsidR="008100B8">
        <w:rPr>
          <w:lang w:val="fr-BE"/>
        </w:rPr>
        <w:t>et</w:t>
      </w:r>
      <w:r w:rsidR="007F6018">
        <w:rPr>
          <w:lang w:val="fr-BE"/>
        </w:rPr>
        <w:t xml:space="preserve"> en objet du message :</w:t>
      </w:r>
      <w:r w:rsidR="008100B8">
        <w:rPr>
          <w:lang w:val="fr-BE"/>
        </w:rPr>
        <w:t xml:space="preserve"> </w:t>
      </w:r>
      <w:r w:rsidR="005E6B4D" w:rsidRPr="008100B8">
        <w:rPr>
          <w:lang w:val="fr-BE"/>
        </w:rPr>
        <w:t xml:space="preserve">"APPEL A MANIFESTATION D'INTERET </w:t>
      </w:r>
      <w:r w:rsidRPr="008100B8">
        <w:rPr>
          <w:lang w:val="fr-BE"/>
        </w:rPr>
        <w:t>–</w:t>
      </w:r>
      <w:r w:rsidR="005E6B4D" w:rsidRPr="008100B8">
        <w:rPr>
          <w:lang w:val="fr-BE"/>
        </w:rPr>
        <w:t xml:space="preserve"> CULTURE</w:t>
      </w:r>
      <w:r w:rsidRPr="008100B8">
        <w:rPr>
          <w:lang w:val="fr-BE"/>
        </w:rPr>
        <w:t xml:space="preserve"> PHASE</w:t>
      </w:r>
      <w:r w:rsidR="00E800E9" w:rsidRPr="008100B8">
        <w:rPr>
          <w:lang w:val="fr-BE"/>
        </w:rPr>
        <w:t xml:space="preserve"> </w:t>
      </w:r>
      <w:r w:rsidRPr="008100B8">
        <w:rPr>
          <w:lang w:val="fr-BE"/>
        </w:rPr>
        <w:t xml:space="preserve">(année à préciser). </w:t>
      </w:r>
    </w:p>
    <w:p w14:paraId="27544F5F" w14:textId="77777777" w:rsidR="00170CC3" w:rsidRPr="007F6018" w:rsidRDefault="00170CC3" w:rsidP="00170CC3">
      <w:pPr>
        <w:spacing w:after="120" w:line="240" w:lineRule="auto"/>
        <w:jc w:val="both"/>
        <w:rPr>
          <w:b/>
          <w:sz w:val="28"/>
          <w:szCs w:val="28"/>
          <w:lang w:val="fr-BE"/>
        </w:rPr>
      </w:pPr>
      <w:r w:rsidRPr="007F6018">
        <w:rPr>
          <w:b/>
          <w:sz w:val="28"/>
          <w:szCs w:val="28"/>
          <w:lang w:val="fr-BE"/>
        </w:rPr>
        <w:lastRenderedPageBreak/>
        <w:t>Evaluation des candidatures</w:t>
      </w:r>
    </w:p>
    <w:p w14:paraId="6875A6BB" w14:textId="77777777" w:rsidR="00170CC3" w:rsidRPr="00B608F3" w:rsidRDefault="00170CC3" w:rsidP="006B7923">
      <w:pPr>
        <w:spacing w:after="0" w:line="240" w:lineRule="auto"/>
        <w:jc w:val="both"/>
        <w:rPr>
          <w:lang w:val="fr-BE"/>
        </w:rPr>
      </w:pPr>
      <w:r w:rsidRPr="00B608F3">
        <w:rPr>
          <w:lang w:val="fr-BE"/>
        </w:rPr>
        <w:t>Les candidatures reçues seront évaluées par un Comité d'Evaluation sur base de la grille d'évaluation en annexe</w:t>
      </w:r>
      <w:r w:rsidR="006B7923">
        <w:rPr>
          <w:lang w:val="fr-BE"/>
        </w:rPr>
        <w:t xml:space="preserve"> 2</w:t>
      </w:r>
      <w:r w:rsidRPr="00B608F3">
        <w:rPr>
          <w:lang w:val="fr-BE"/>
        </w:rPr>
        <w:t>.</w:t>
      </w:r>
    </w:p>
    <w:p w14:paraId="048A4F1F" w14:textId="40DAAF6A" w:rsidR="00170CC3" w:rsidRPr="00B608F3" w:rsidRDefault="00170CC3" w:rsidP="006B7923">
      <w:pPr>
        <w:spacing w:after="0" w:line="240" w:lineRule="auto"/>
        <w:jc w:val="both"/>
        <w:rPr>
          <w:lang w:val="fr-BE"/>
        </w:rPr>
      </w:pPr>
      <w:r w:rsidRPr="00B608F3">
        <w:rPr>
          <w:lang w:val="fr-BE"/>
        </w:rPr>
        <w:t xml:space="preserve">Parmi les projets éligibles </w:t>
      </w:r>
      <w:r w:rsidR="007D03CE">
        <w:rPr>
          <w:lang w:val="fr-BE"/>
        </w:rPr>
        <w:t>(</w:t>
      </w:r>
      <w:r w:rsidRPr="00B608F3">
        <w:rPr>
          <w:lang w:val="fr-BE"/>
        </w:rPr>
        <w:t>qui répondent aux critères susmentionnés</w:t>
      </w:r>
      <w:r w:rsidR="007D03CE">
        <w:rPr>
          <w:lang w:val="fr-BE"/>
        </w:rPr>
        <w:t>)</w:t>
      </w:r>
      <w:r w:rsidRPr="00B608F3">
        <w:rPr>
          <w:lang w:val="fr-BE"/>
        </w:rPr>
        <w:t>, les meilleurs (</w:t>
      </w:r>
      <w:r w:rsidR="006B7923">
        <w:rPr>
          <w:lang w:val="fr-BE"/>
        </w:rPr>
        <w:t>ceux avec le meilleur score</w:t>
      </w:r>
      <w:r w:rsidRPr="00B608F3">
        <w:rPr>
          <w:lang w:val="fr-BE"/>
        </w:rPr>
        <w:t>) seront retenus et proposés pour un financement.</w:t>
      </w:r>
      <w:r w:rsidR="00534E33">
        <w:rPr>
          <w:lang w:val="fr-BE"/>
        </w:rPr>
        <w:t xml:space="preserve"> Une liste de réserve sera</w:t>
      </w:r>
      <w:r w:rsidRPr="00B608F3">
        <w:rPr>
          <w:lang w:val="fr-BE"/>
        </w:rPr>
        <w:t xml:space="preserve"> </w:t>
      </w:r>
      <w:r w:rsidR="00E920AE" w:rsidRPr="00B608F3">
        <w:rPr>
          <w:lang w:val="fr-BE"/>
        </w:rPr>
        <w:t xml:space="preserve">également </w:t>
      </w:r>
      <w:r w:rsidRPr="00B608F3">
        <w:rPr>
          <w:lang w:val="fr-BE"/>
        </w:rPr>
        <w:t>établie.</w:t>
      </w:r>
    </w:p>
    <w:p w14:paraId="4450F043" w14:textId="77777777" w:rsidR="00534E33" w:rsidRDefault="00534E33" w:rsidP="00170CC3">
      <w:pPr>
        <w:spacing w:after="120" w:line="240" w:lineRule="auto"/>
        <w:jc w:val="both"/>
        <w:rPr>
          <w:lang w:val="fr-BE"/>
        </w:rPr>
      </w:pPr>
    </w:p>
    <w:p w14:paraId="4909FD0D" w14:textId="7027DCDD" w:rsidR="00170CC3" w:rsidRPr="00B608F3" w:rsidRDefault="00170CC3" w:rsidP="00170CC3">
      <w:pPr>
        <w:spacing w:after="120" w:line="240" w:lineRule="auto"/>
        <w:jc w:val="both"/>
        <w:rPr>
          <w:lang w:val="fr-BE"/>
        </w:rPr>
      </w:pPr>
      <w:r w:rsidRPr="00B608F3">
        <w:rPr>
          <w:lang w:val="fr-BE"/>
        </w:rPr>
        <w:t xml:space="preserve">Lors de la négociation contractuelle, l'Union européenne et la CONFED se réservent le droit de proposer des amendements aux activités proposées afin d'aligner les programmes avec sa stratégie de communication et </w:t>
      </w:r>
      <w:r w:rsidR="00E920AE" w:rsidRPr="00B608F3">
        <w:rPr>
          <w:lang w:val="fr-BE"/>
        </w:rPr>
        <w:t>d'</w:t>
      </w:r>
      <w:r w:rsidRPr="00B608F3">
        <w:rPr>
          <w:lang w:val="fr-BE"/>
        </w:rPr>
        <w:t>éviter les chevauchements d'évènements aux mêmes dates.</w:t>
      </w:r>
    </w:p>
    <w:p w14:paraId="1F3DBCAF" w14:textId="77777777" w:rsidR="00170CC3" w:rsidRPr="00B608F3" w:rsidRDefault="00170CC3" w:rsidP="00170CC3">
      <w:pPr>
        <w:spacing w:after="120" w:line="240" w:lineRule="auto"/>
        <w:jc w:val="both"/>
        <w:rPr>
          <w:lang w:val="fr-BE"/>
        </w:rPr>
      </w:pPr>
    </w:p>
    <w:p w14:paraId="1E7C3AB3" w14:textId="2DD870C6" w:rsidR="009842DF" w:rsidRPr="002C6585" w:rsidRDefault="009842DF" w:rsidP="00170CC3">
      <w:pPr>
        <w:spacing w:after="120" w:line="240" w:lineRule="auto"/>
        <w:jc w:val="both"/>
        <w:rPr>
          <w:b/>
          <w:sz w:val="24"/>
          <w:szCs w:val="24"/>
          <w:lang w:val="fr-BE"/>
        </w:rPr>
      </w:pPr>
      <w:r w:rsidRPr="002C6585">
        <w:rPr>
          <w:b/>
          <w:sz w:val="24"/>
          <w:szCs w:val="24"/>
          <w:lang w:val="fr-BE"/>
        </w:rPr>
        <w:t>Annexes à cet appel à manifestation d'intérêt</w:t>
      </w:r>
      <w:r w:rsidR="00534E33" w:rsidRPr="002C6585">
        <w:rPr>
          <w:b/>
          <w:sz w:val="24"/>
          <w:szCs w:val="24"/>
          <w:lang w:val="fr-BE"/>
        </w:rPr>
        <w:t> :</w:t>
      </w:r>
    </w:p>
    <w:p w14:paraId="1EE4B68D" w14:textId="77777777" w:rsidR="007D03CE" w:rsidRPr="007D03CE" w:rsidRDefault="007D03CE" w:rsidP="002C6585">
      <w:pPr>
        <w:spacing w:after="0"/>
        <w:jc w:val="both"/>
        <w:rPr>
          <w:lang w:val="fr-BE"/>
        </w:rPr>
      </w:pPr>
      <w:r w:rsidRPr="007D03CE">
        <w:rPr>
          <w:lang w:val="fr-BE"/>
        </w:rPr>
        <w:t>1. Structure du dossier de candidature</w:t>
      </w:r>
    </w:p>
    <w:p w14:paraId="473C0AAD" w14:textId="77777777" w:rsidR="007D03CE" w:rsidRPr="007D03CE" w:rsidRDefault="007D03CE" w:rsidP="002C6585">
      <w:pPr>
        <w:spacing w:after="0"/>
        <w:jc w:val="both"/>
        <w:rPr>
          <w:lang w:val="fr-BE"/>
        </w:rPr>
      </w:pPr>
      <w:r w:rsidRPr="007D03CE">
        <w:rPr>
          <w:lang w:val="fr-BE"/>
        </w:rPr>
        <w:t>2. Grille d'évaluation</w:t>
      </w:r>
    </w:p>
    <w:p w14:paraId="65726550" w14:textId="77777777" w:rsidR="009842DF" w:rsidRPr="007D03CE" w:rsidRDefault="007D03CE" w:rsidP="002C6585">
      <w:pPr>
        <w:spacing w:after="0"/>
        <w:jc w:val="both"/>
        <w:rPr>
          <w:lang w:val="fr-BE"/>
        </w:rPr>
      </w:pPr>
      <w:r w:rsidRPr="007D03CE">
        <w:rPr>
          <w:lang w:val="fr-BE"/>
        </w:rPr>
        <w:t xml:space="preserve">3. </w:t>
      </w:r>
      <w:r w:rsidR="009842DF" w:rsidRPr="007D03CE">
        <w:rPr>
          <w:lang w:val="fr-BE"/>
        </w:rPr>
        <w:t>Documents généraux déterminant le</w:t>
      </w:r>
      <w:r w:rsidR="001C7AF5">
        <w:rPr>
          <w:lang w:val="fr-BE"/>
        </w:rPr>
        <w:t>s priorités du Mali et de l'UE dans la culture</w:t>
      </w:r>
      <w:r w:rsidR="009842DF" w:rsidRPr="007D03CE">
        <w:rPr>
          <w:lang w:val="fr-BE"/>
        </w:rPr>
        <w:t>:</w:t>
      </w:r>
    </w:p>
    <w:p w14:paraId="70A59F6D" w14:textId="77777777" w:rsidR="009842DF" w:rsidRPr="00B608F3" w:rsidRDefault="009842DF" w:rsidP="002C6585">
      <w:pPr>
        <w:numPr>
          <w:ilvl w:val="0"/>
          <w:numId w:val="4"/>
        </w:numPr>
        <w:spacing w:after="0"/>
        <w:ind w:left="720"/>
        <w:contextualSpacing/>
        <w:jc w:val="both"/>
        <w:rPr>
          <w:lang w:val="fr-BE"/>
        </w:rPr>
      </w:pPr>
      <w:r w:rsidRPr="00B608F3">
        <w:rPr>
          <w:lang w:val="fr-BE"/>
        </w:rPr>
        <w:t>Conclusions 2019/C 192/04 du Conseil de l'UE</w:t>
      </w:r>
    </w:p>
    <w:p w14:paraId="1CE211FC" w14:textId="77777777" w:rsidR="009842DF" w:rsidRPr="00B608F3" w:rsidRDefault="009842DF" w:rsidP="002C6585">
      <w:pPr>
        <w:numPr>
          <w:ilvl w:val="0"/>
          <w:numId w:val="4"/>
        </w:numPr>
        <w:spacing w:after="0"/>
        <w:ind w:left="720"/>
        <w:contextualSpacing/>
        <w:jc w:val="both"/>
        <w:rPr>
          <w:lang w:val="fr-BE"/>
        </w:rPr>
      </w:pPr>
      <w:r w:rsidRPr="00B608F3">
        <w:rPr>
          <w:lang w:val="fr-BE"/>
        </w:rPr>
        <w:t>Conclusions de la Conférence des Ministres en charge de la Culture à Ouagadougou (17/01/2020)</w:t>
      </w:r>
    </w:p>
    <w:p w14:paraId="27D8ADEA" w14:textId="77777777" w:rsidR="009842DF" w:rsidRPr="00B608F3" w:rsidRDefault="009842DF" w:rsidP="002C6585">
      <w:pPr>
        <w:numPr>
          <w:ilvl w:val="0"/>
          <w:numId w:val="4"/>
        </w:numPr>
        <w:spacing w:after="0"/>
        <w:ind w:left="720"/>
        <w:contextualSpacing/>
        <w:jc w:val="both"/>
        <w:rPr>
          <w:lang w:val="fr-BE"/>
        </w:rPr>
      </w:pPr>
      <w:r w:rsidRPr="00B608F3">
        <w:rPr>
          <w:lang w:val="fr-BE"/>
        </w:rPr>
        <w:t>Conclusions du Dialogue National Inclusif au sujet</w:t>
      </w:r>
      <w:r w:rsidR="001C7AF5">
        <w:rPr>
          <w:lang w:val="fr-BE"/>
        </w:rPr>
        <w:t xml:space="preserve"> de la promotion de la culture</w:t>
      </w:r>
      <w:r w:rsidRPr="00B608F3">
        <w:rPr>
          <w:lang w:val="fr-BE"/>
        </w:rPr>
        <w:t>.</w:t>
      </w:r>
    </w:p>
    <w:p w14:paraId="3E94BAC8" w14:textId="77777777" w:rsidR="009842DF" w:rsidRPr="00B608F3" w:rsidRDefault="009842DF" w:rsidP="00170CC3">
      <w:pPr>
        <w:spacing w:after="120" w:line="240" w:lineRule="auto"/>
        <w:jc w:val="both"/>
        <w:rPr>
          <w:lang w:val="fr-BE"/>
        </w:rPr>
      </w:pPr>
    </w:p>
    <w:p w14:paraId="50DFAE4E" w14:textId="0B8DFA87" w:rsidR="00C31E13" w:rsidRPr="007D03CE" w:rsidRDefault="007D03CE" w:rsidP="00C31E13">
      <w:pPr>
        <w:spacing w:after="120" w:line="240" w:lineRule="auto"/>
        <w:jc w:val="both"/>
        <w:rPr>
          <w:b/>
          <w:lang w:val="fr-BE"/>
        </w:rPr>
      </w:pPr>
      <w:r>
        <w:rPr>
          <w:lang w:val="fr-BE"/>
        </w:rPr>
        <w:br w:type="page"/>
      </w:r>
      <w:r w:rsidR="00C31E13" w:rsidRPr="007D03CE">
        <w:rPr>
          <w:b/>
          <w:lang w:val="fr-BE"/>
        </w:rPr>
        <w:lastRenderedPageBreak/>
        <w:t>Annexe 1.</w:t>
      </w:r>
    </w:p>
    <w:p w14:paraId="302EB636" w14:textId="77777777" w:rsidR="00C31E13" w:rsidRPr="00B608F3" w:rsidRDefault="00C31E13" w:rsidP="00C31E13">
      <w:pPr>
        <w:spacing w:after="120" w:line="240" w:lineRule="auto"/>
        <w:jc w:val="center"/>
        <w:rPr>
          <w:b/>
          <w:sz w:val="28"/>
          <w:lang w:val="fr-BE"/>
        </w:rPr>
      </w:pPr>
      <w:r w:rsidRPr="00B608F3">
        <w:rPr>
          <w:b/>
          <w:sz w:val="28"/>
          <w:lang w:val="fr-BE"/>
        </w:rPr>
        <w:t>Opportunité de financement de projets culturels par l'Union européenne au Mali</w:t>
      </w:r>
    </w:p>
    <w:p w14:paraId="0B110139" w14:textId="77777777" w:rsidR="00C31E13" w:rsidRPr="00B608F3" w:rsidRDefault="00C31E13" w:rsidP="00C31E13">
      <w:pPr>
        <w:spacing w:after="120" w:line="240" w:lineRule="auto"/>
        <w:jc w:val="center"/>
        <w:rPr>
          <w:sz w:val="28"/>
          <w:u w:val="single"/>
          <w:lang w:val="fr-BE"/>
        </w:rPr>
      </w:pPr>
      <w:r w:rsidRPr="00B608F3">
        <w:rPr>
          <w:sz w:val="28"/>
          <w:u w:val="single"/>
          <w:lang w:val="fr-BE"/>
        </w:rPr>
        <w:t xml:space="preserve">"La culture pour la paix – Unis dans la diversité" </w:t>
      </w:r>
    </w:p>
    <w:p w14:paraId="17AB7984" w14:textId="4181866E" w:rsidR="007036F7" w:rsidRPr="00BE57E9" w:rsidRDefault="006B7923" w:rsidP="00BE57E9">
      <w:pPr>
        <w:spacing w:after="120" w:line="360" w:lineRule="auto"/>
        <w:jc w:val="center"/>
        <w:rPr>
          <w:b/>
          <w:sz w:val="24"/>
          <w:lang w:val="fr-BE"/>
        </w:rPr>
      </w:pPr>
      <w:r w:rsidRPr="006B7923">
        <w:rPr>
          <w:b/>
          <w:sz w:val="24"/>
          <w:lang w:val="fr-BE"/>
        </w:rPr>
        <w:t xml:space="preserve">Le </w:t>
      </w:r>
      <w:r w:rsidR="00C31E13" w:rsidRPr="006B7923">
        <w:rPr>
          <w:b/>
          <w:sz w:val="24"/>
          <w:lang w:val="fr-BE"/>
        </w:rPr>
        <w:t>dossier de candidature</w:t>
      </w:r>
    </w:p>
    <w:p w14:paraId="076EFD54" w14:textId="6167BAA6" w:rsidR="006B7923" w:rsidRPr="00052569" w:rsidRDefault="006B7923" w:rsidP="00052569">
      <w:pPr>
        <w:jc w:val="both"/>
        <w:rPr>
          <w:lang w:val="fr-BE"/>
        </w:rPr>
      </w:pPr>
      <w:r>
        <w:rPr>
          <w:lang w:val="fr-BE"/>
        </w:rPr>
        <w:t>Le dossier de candidature e</w:t>
      </w:r>
      <w:r w:rsidR="002C6585">
        <w:rPr>
          <w:lang w:val="fr-BE"/>
        </w:rPr>
        <w:t>t les annexes doivent être envoyés</w:t>
      </w:r>
      <w:r w:rsidR="00052569">
        <w:rPr>
          <w:lang w:val="fr-BE"/>
        </w:rPr>
        <w:t xml:space="preserve"> avant le délai imposé </w:t>
      </w:r>
      <w:r w:rsidR="00052569" w:rsidRPr="007F6018">
        <w:rPr>
          <w:b/>
          <w:u w:val="single"/>
          <w:lang w:val="fr-BE"/>
        </w:rPr>
        <w:t>uniquement en version électronique</w:t>
      </w:r>
      <w:r w:rsidR="00052569" w:rsidRPr="008100B8">
        <w:rPr>
          <w:lang w:val="fr-BE"/>
        </w:rPr>
        <w:t xml:space="preserve"> à l’adresse suivante : </w:t>
      </w:r>
      <w:hyperlink r:id="rId14" w:history="1">
        <w:r w:rsidR="00052569" w:rsidRPr="008100B8">
          <w:rPr>
            <w:rStyle w:val="Lienhypertexte"/>
            <w:b/>
            <w:bCs/>
            <w:sz w:val="24"/>
            <w:lang w:val="fr-BE"/>
          </w:rPr>
          <w:t>confed@confedmali.net</w:t>
        </w:r>
      </w:hyperlink>
      <w:r w:rsidR="00052569">
        <w:rPr>
          <w:rStyle w:val="Lienhypertexte"/>
          <w:b/>
          <w:bCs/>
          <w:sz w:val="24"/>
          <w:lang w:val="fr-BE"/>
        </w:rPr>
        <w:t> </w:t>
      </w:r>
      <w:r w:rsidR="00052569">
        <w:rPr>
          <w:lang w:val="fr-BE"/>
        </w:rPr>
        <w:t>; sans oublier de préciser</w:t>
      </w:r>
      <w:r w:rsidR="00052569" w:rsidRPr="00052569">
        <w:rPr>
          <w:lang w:val="fr-BE"/>
        </w:rPr>
        <w:t xml:space="preserve"> la phase 2020 ou 2021, et en </w:t>
      </w:r>
      <w:r w:rsidR="00052569">
        <w:rPr>
          <w:lang w:val="fr-BE"/>
        </w:rPr>
        <w:t>mentionnant dans l’</w:t>
      </w:r>
      <w:r w:rsidR="00052569" w:rsidRPr="00052569">
        <w:rPr>
          <w:lang w:val="fr-BE"/>
        </w:rPr>
        <w:t xml:space="preserve">objet du message : "APPEL A MANIFESTATION D'INTERET – CULTURE PHASE (année à préciser). </w:t>
      </w:r>
    </w:p>
    <w:p w14:paraId="47F9359D" w14:textId="77777777" w:rsidR="00C31E13" w:rsidRPr="00C31E13" w:rsidRDefault="00C31E13">
      <w:pPr>
        <w:rPr>
          <w:b/>
          <w:sz w:val="24"/>
          <w:lang w:val="fr-BE"/>
        </w:rPr>
      </w:pPr>
      <w:r w:rsidRPr="00C31E13">
        <w:rPr>
          <w:b/>
          <w:sz w:val="24"/>
          <w:lang w:val="fr-BE"/>
        </w:rPr>
        <w:t>Dossier de candidature (maximum 8 pages</w:t>
      </w:r>
      <w:r w:rsidR="006B7923">
        <w:rPr>
          <w:b/>
          <w:sz w:val="24"/>
          <w:lang w:val="fr-BE"/>
        </w:rPr>
        <w:t xml:space="preserve"> + annexes</w:t>
      </w:r>
      <w:r w:rsidRPr="00C31E13">
        <w:rPr>
          <w:b/>
          <w:sz w:val="24"/>
          <w:lang w:val="fr-B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7"/>
        <w:gridCol w:w="5752"/>
      </w:tblGrid>
      <w:tr w:rsidR="00C31E13" w:rsidRPr="00B608F3" w14:paraId="50AAA1A8" w14:textId="77777777" w:rsidTr="005D5696">
        <w:tc>
          <w:tcPr>
            <w:tcW w:w="4137" w:type="dxa"/>
            <w:tcBorders>
              <w:top w:val="single" w:sz="4" w:space="0" w:color="auto"/>
              <w:left w:val="single" w:sz="4" w:space="0" w:color="auto"/>
              <w:bottom w:val="single" w:sz="4" w:space="0" w:color="auto"/>
              <w:right w:val="single" w:sz="4" w:space="0" w:color="auto"/>
            </w:tcBorders>
            <w:hideMark/>
          </w:tcPr>
          <w:p w14:paraId="3E8AA76B" w14:textId="77777777" w:rsidR="00C31E13" w:rsidRPr="00B608F3" w:rsidRDefault="00C31E13" w:rsidP="005D5696">
            <w:pPr>
              <w:spacing w:after="0" w:line="240" w:lineRule="auto"/>
              <w:rPr>
                <w:b/>
                <w:lang w:val="fr-BE" w:eastAsia="fr-FR" w:bidi="fr-FR"/>
              </w:rPr>
            </w:pPr>
            <w:r w:rsidRPr="00B608F3">
              <w:rPr>
                <w:b/>
                <w:lang w:val="fr-BE"/>
              </w:rPr>
              <w:t xml:space="preserve">Nom du demandeur </w:t>
            </w:r>
          </w:p>
        </w:tc>
        <w:tc>
          <w:tcPr>
            <w:tcW w:w="5752" w:type="dxa"/>
            <w:tcBorders>
              <w:top w:val="single" w:sz="4" w:space="0" w:color="auto"/>
              <w:left w:val="single" w:sz="4" w:space="0" w:color="auto"/>
              <w:bottom w:val="single" w:sz="4" w:space="0" w:color="auto"/>
              <w:right w:val="single" w:sz="4" w:space="0" w:color="auto"/>
            </w:tcBorders>
          </w:tcPr>
          <w:p w14:paraId="68459679" w14:textId="77777777" w:rsidR="00C31E13" w:rsidRPr="00B608F3" w:rsidRDefault="00C31E13" w:rsidP="005D5696">
            <w:pPr>
              <w:spacing w:after="0" w:line="240" w:lineRule="auto"/>
              <w:rPr>
                <w:b/>
                <w:color w:val="000000"/>
                <w:lang w:val="fr-BE" w:eastAsia="fr-FR" w:bidi="fr-FR"/>
              </w:rPr>
            </w:pPr>
          </w:p>
        </w:tc>
      </w:tr>
      <w:tr w:rsidR="00C31E13" w:rsidRPr="00B608F3" w14:paraId="6663A874" w14:textId="77777777" w:rsidTr="005D5696">
        <w:tc>
          <w:tcPr>
            <w:tcW w:w="4137" w:type="dxa"/>
            <w:tcBorders>
              <w:top w:val="single" w:sz="4" w:space="0" w:color="auto"/>
              <w:left w:val="single" w:sz="4" w:space="0" w:color="auto"/>
              <w:bottom w:val="single" w:sz="4" w:space="0" w:color="auto"/>
              <w:right w:val="single" w:sz="4" w:space="0" w:color="auto"/>
            </w:tcBorders>
            <w:hideMark/>
          </w:tcPr>
          <w:p w14:paraId="3D0893FB" w14:textId="77777777" w:rsidR="00C31E13" w:rsidRPr="00B608F3" w:rsidRDefault="00C31E13" w:rsidP="005D5696">
            <w:pPr>
              <w:spacing w:after="0" w:line="240" w:lineRule="auto"/>
              <w:rPr>
                <w:b/>
                <w:lang w:val="fr-BE"/>
              </w:rPr>
            </w:pPr>
            <w:r w:rsidRPr="00B608F3">
              <w:rPr>
                <w:b/>
                <w:lang w:val="fr-BE"/>
              </w:rPr>
              <w:t>Intitulé de l’action</w:t>
            </w:r>
          </w:p>
        </w:tc>
        <w:tc>
          <w:tcPr>
            <w:tcW w:w="5752" w:type="dxa"/>
            <w:tcBorders>
              <w:top w:val="single" w:sz="4" w:space="0" w:color="auto"/>
              <w:left w:val="single" w:sz="4" w:space="0" w:color="auto"/>
              <w:bottom w:val="single" w:sz="4" w:space="0" w:color="auto"/>
              <w:right w:val="single" w:sz="4" w:space="0" w:color="auto"/>
            </w:tcBorders>
          </w:tcPr>
          <w:p w14:paraId="0D21D7E2" w14:textId="77777777" w:rsidR="00C31E13" w:rsidRPr="00B608F3" w:rsidRDefault="00C31E13" w:rsidP="005D5696">
            <w:pPr>
              <w:spacing w:after="0" w:line="240" w:lineRule="auto"/>
              <w:rPr>
                <w:b/>
                <w:bCs/>
                <w:color w:val="000000"/>
                <w:lang w:val="fr-BE" w:eastAsia="fr-FR" w:bidi="fr-FR"/>
              </w:rPr>
            </w:pPr>
          </w:p>
        </w:tc>
      </w:tr>
      <w:tr w:rsidR="00C31E13" w:rsidRPr="001732EE" w14:paraId="2D89FF57" w14:textId="77777777" w:rsidTr="005D5696">
        <w:tc>
          <w:tcPr>
            <w:tcW w:w="4137" w:type="dxa"/>
            <w:tcBorders>
              <w:top w:val="single" w:sz="4" w:space="0" w:color="auto"/>
              <w:left w:val="single" w:sz="4" w:space="0" w:color="auto"/>
              <w:bottom w:val="single" w:sz="4" w:space="0" w:color="auto"/>
              <w:right w:val="single" w:sz="4" w:space="0" w:color="auto"/>
            </w:tcBorders>
          </w:tcPr>
          <w:p w14:paraId="1842628E" w14:textId="77777777" w:rsidR="00C31E13" w:rsidRPr="00B608F3" w:rsidRDefault="00C31E13" w:rsidP="005D5696">
            <w:pPr>
              <w:spacing w:after="0" w:line="240" w:lineRule="auto"/>
              <w:rPr>
                <w:b/>
                <w:lang w:val="fr-BE"/>
              </w:rPr>
            </w:pPr>
            <w:r>
              <w:rPr>
                <w:b/>
                <w:lang w:val="fr-BE"/>
              </w:rPr>
              <w:t>Montant total de l'action (FCFA)</w:t>
            </w:r>
          </w:p>
        </w:tc>
        <w:tc>
          <w:tcPr>
            <w:tcW w:w="5752" w:type="dxa"/>
            <w:tcBorders>
              <w:top w:val="single" w:sz="4" w:space="0" w:color="auto"/>
              <w:left w:val="single" w:sz="4" w:space="0" w:color="auto"/>
              <w:bottom w:val="single" w:sz="4" w:space="0" w:color="auto"/>
              <w:right w:val="single" w:sz="4" w:space="0" w:color="auto"/>
            </w:tcBorders>
          </w:tcPr>
          <w:p w14:paraId="45CB9117" w14:textId="77777777" w:rsidR="00C31E13" w:rsidRPr="00B608F3" w:rsidRDefault="00C31E13" w:rsidP="005D5696">
            <w:pPr>
              <w:spacing w:after="0" w:line="240" w:lineRule="auto"/>
              <w:rPr>
                <w:b/>
                <w:bCs/>
                <w:color w:val="000000"/>
                <w:lang w:val="fr-BE" w:eastAsia="fr-FR" w:bidi="fr-FR"/>
              </w:rPr>
            </w:pPr>
          </w:p>
        </w:tc>
      </w:tr>
      <w:tr w:rsidR="00C31E13" w:rsidRPr="001732EE" w14:paraId="4F35DA34" w14:textId="77777777" w:rsidTr="005D5696">
        <w:tc>
          <w:tcPr>
            <w:tcW w:w="4137" w:type="dxa"/>
            <w:tcBorders>
              <w:top w:val="single" w:sz="4" w:space="0" w:color="auto"/>
              <w:left w:val="single" w:sz="4" w:space="0" w:color="auto"/>
              <w:bottom w:val="single" w:sz="4" w:space="0" w:color="auto"/>
              <w:right w:val="single" w:sz="4" w:space="0" w:color="auto"/>
            </w:tcBorders>
          </w:tcPr>
          <w:p w14:paraId="22157A3C" w14:textId="77777777" w:rsidR="00C31E13" w:rsidRDefault="00C31E13" w:rsidP="005D5696">
            <w:pPr>
              <w:spacing w:after="0" w:line="240" w:lineRule="auto"/>
              <w:rPr>
                <w:b/>
                <w:lang w:val="fr-BE"/>
              </w:rPr>
            </w:pPr>
            <w:r>
              <w:rPr>
                <w:b/>
                <w:lang w:val="fr-BE"/>
              </w:rPr>
              <w:t>Montant de la contribution de l'UE (FCFA)</w:t>
            </w:r>
          </w:p>
        </w:tc>
        <w:tc>
          <w:tcPr>
            <w:tcW w:w="5752" w:type="dxa"/>
            <w:tcBorders>
              <w:top w:val="single" w:sz="4" w:space="0" w:color="auto"/>
              <w:left w:val="single" w:sz="4" w:space="0" w:color="auto"/>
              <w:bottom w:val="single" w:sz="4" w:space="0" w:color="auto"/>
              <w:right w:val="single" w:sz="4" w:space="0" w:color="auto"/>
            </w:tcBorders>
          </w:tcPr>
          <w:p w14:paraId="2CFF0A2B" w14:textId="77777777" w:rsidR="00C31E13" w:rsidRPr="00B608F3" w:rsidRDefault="00C31E13" w:rsidP="005D5696">
            <w:pPr>
              <w:spacing w:after="0" w:line="240" w:lineRule="auto"/>
              <w:rPr>
                <w:b/>
                <w:bCs/>
                <w:color w:val="000000"/>
                <w:lang w:val="fr-BE" w:eastAsia="fr-FR" w:bidi="fr-FR"/>
              </w:rPr>
            </w:pPr>
          </w:p>
        </w:tc>
      </w:tr>
      <w:tr w:rsidR="00C31E13" w:rsidRPr="00B608F3" w14:paraId="74648ACA" w14:textId="77777777" w:rsidTr="005D5696">
        <w:tc>
          <w:tcPr>
            <w:tcW w:w="4137" w:type="dxa"/>
            <w:tcBorders>
              <w:top w:val="single" w:sz="4" w:space="0" w:color="auto"/>
              <w:left w:val="single" w:sz="4" w:space="0" w:color="auto"/>
              <w:bottom w:val="single" w:sz="4" w:space="0" w:color="auto"/>
              <w:right w:val="single" w:sz="4" w:space="0" w:color="auto"/>
            </w:tcBorders>
          </w:tcPr>
          <w:p w14:paraId="6000DAC6" w14:textId="77777777" w:rsidR="00C31E13" w:rsidRDefault="00C31E13" w:rsidP="005D5696">
            <w:pPr>
              <w:spacing w:after="0" w:line="240" w:lineRule="auto"/>
              <w:rPr>
                <w:b/>
                <w:lang w:val="fr-BE"/>
              </w:rPr>
            </w:pPr>
            <w:r>
              <w:rPr>
                <w:b/>
                <w:lang w:val="fr-BE"/>
              </w:rPr>
              <w:t>Durée (mois)</w:t>
            </w:r>
          </w:p>
        </w:tc>
        <w:tc>
          <w:tcPr>
            <w:tcW w:w="5752" w:type="dxa"/>
            <w:tcBorders>
              <w:top w:val="single" w:sz="4" w:space="0" w:color="auto"/>
              <w:left w:val="single" w:sz="4" w:space="0" w:color="auto"/>
              <w:bottom w:val="single" w:sz="4" w:space="0" w:color="auto"/>
              <w:right w:val="single" w:sz="4" w:space="0" w:color="auto"/>
            </w:tcBorders>
          </w:tcPr>
          <w:p w14:paraId="1BD5CEA0" w14:textId="77777777" w:rsidR="00C31E13" w:rsidRPr="00B608F3" w:rsidRDefault="00C31E13" w:rsidP="005D5696">
            <w:pPr>
              <w:spacing w:after="0" w:line="240" w:lineRule="auto"/>
              <w:rPr>
                <w:b/>
                <w:bCs/>
                <w:color w:val="000000"/>
                <w:lang w:val="fr-BE" w:eastAsia="fr-FR" w:bidi="fr-FR"/>
              </w:rPr>
            </w:pPr>
          </w:p>
        </w:tc>
      </w:tr>
    </w:tbl>
    <w:p w14:paraId="502D7034" w14:textId="77777777" w:rsidR="00C31E13" w:rsidRDefault="00C31E13" w:rsidP="00C31E13">
      <w:pPr>
        <w:spacing w:after="160" w:line="252" w:lineRule="auto"/>
        <w:contextualSpacing/>
        <w:jc w:val="both"/>
        <w:rPr>
          <w:b/>
          <w:lang w:val="fr-BE"/>
        </w:rPr>
      </w:pPr>
    </w:p>
    <w:p w14:paraId="7A364870" w14:textId="77777777" w:rsidR="00C31E13" w:rsidRDefault="00C31E13" w:rsidP="00C31E13">
      <w:pPr>
        <w:spacing w:after="160" w:line="252" w:lineRule="auto"/>
        <w:contextualSpacing/>
        <w:jc w:val="both"/>
        <w:rPr>
          <w:lang w:val="fr-BE"/>
        </w:rPr>
      </w:pPr>
      <w:r w:rsidRPr="00C31E13">
        <w:rPr>
          <w:b/>
          <w:lang w:val="fr-BE"/>
        </w:rPr>
        <w:t>I.</w:t>
      </w:r>
      <w:r w:rsidRPr="00B608F3">
        <w:rPr>
          <w:lang w:val="fr-BE"/>
        </w:rPr>
        <w:t xml:space="preserve"> Résumé</w:t>
      </w:r>
    </w:p>
    <w:p w14:paraId="0F85F0D1" w14:textId="77777777" w:rsidR="006B7923" w:rsidRPr="00B608F3" w:rsidRDefault="006B7923" w:rsidP="00C31E13">
      <w:pPr>
        <w:spacing w:after="160" w:line="252" w:lineRule="auto"/>
        <w:contextualSpacing/>
        <w:jc w:val="both"/>
        <w:rPr>
          <w:lang w:val="fr-BE"/>
        </w:rPr>
      </w:pPr>
    </w:p>
    <w:p w14:paraId="20744CC8" w14:textId="77777777" w:rsidR="00C31E13" w:rsidRDefault="00C31E13" w:rsidP="00C31E13">
      <w:pPr>
        <w:spacing w:after="160" w:line="252" w:lineRule="auto"/>
        <w:contextualSpacing/>
        <w:jc w:val="both"/>
        <w:rPr>
          <w:lang w:val="fr-BE"/>
        </w:rPr>
      </w:pPr>
      <w:r w:rsidRPr="00C31E13">
        <w:rPr>
          <w:b/>
          <w:lang w:val="fr-BE"/>
        </w:rPr>
        <w:t>II.</w:t>
      </w:r>
      <w:r w:rsidRPr="00B608F3">
        <w:rPr>
          <w:lang w:val="fr-BE"/>
        </w:rPr>
        <w:t xml:space="preserve"> Contexte et justification du projet</w:t>
      </w:r>
    </w:p>
    <w:p w14:paraId="28B259BE" w14:textId="77777777" w:rsidR="006B7923" w:rsidRPr="00B608F3" w:rsidRDefault="006B7923" w:rsidP="00C31E13">
      <w:pPr>
        <w:spacing w:after="160" w:line="252" w:lineRule="auto"/>
        <w:contextualSpacing/>
        <w:jc w:val="both"/>
        <w:rPr>
          <w:lang w:val="fr-BE"/>
        </w:rPr>
      </w:pPr>
    </w:p>
    <w:p w14:paraId="5D2993A1" w14:textId="77777777" w:rsidR="00C31E13" w:rsidRPr="00B608F3" w:rsidRDefault="00C31E13" w:rsidP="00C31E13">
      <w:pPr>
        <w:spacing w:after="160" w:line="252" w:lineRule="auto"/>
        <w:contextualSpacing/>
        <w:jc w:val="both"/>
        <w:rPr>
          <w:lang w:val="fr-BE"/>
        </w:rPr>
      </w:pPr>
      <w:r w:rsidRPr="00C31E13">
        <w:rPr>
          <w:b/>
          <w:lang w:val="fr-BE"/>
        </w:rPr>
        <w:t>III.</w:t>
      </w:r>
      <w:r w:rsidRPr="00B608F3">
        <w:rPr>
          <w:lang w:val="fr-BE"/>
        </w:rPr>
        <w:t xml:space="preserve"> Objectifs et résultats attendus de l'activité</w:t>
      </w:r>
    </w:p>
    <w:p w14:paraId="1F117DE1" w14:textId="77777777" w:rsidR="006B7923" w:rsidRDefault="006B7923" w:rsidP="00C31E13">
      <w:pPr>
        <w:spacing w:after="160" w:line="252" w:lineRule="auto"/>
        <w:contextualSpacing/>
        <w:jc w:val="both"/>
        <w:rPr>
          <w:b/>
          <w:lang w:val="fr-BE"/>
        </w:rPr>
      </w:pPr>
    </w:p>
    <w:p w14:paraId="7D16D3E9" w14:textId="77777777" w:rsidR="00C31E13" w:rsidRPr="00B608F3" w:rsidRDefault="00C31E13" w:rsidP="00C31E13">
      <w:pPr>
        <w:spacing w:after="160" w:line="252" w:lineRule="auto"/>
        <w:contextualSpacing/>
        <w:jc w:val="both"/>
        <w:rPr>
          <w:lang w:val="fr-BE"/>
        </w:rPr>
      </w:pPr>
      <w:r w:rsidRPr="00C31E13">
        <w:rPr>
          <w:b/>
          <w:lang w:val="fr-BE"/>
        </w:rPr>
        <w:t>IV.</w:t>
      </w:r>
      <w:r w:rsidRPr="00B608F3">
        <w:rPr>
          <w:lang w:val="fr-BE"/>
        </w:rPr>
        <w:t xml:space="preserve"> Les activités du projet, </w:t>
      </w:r>
      <w:r>
        <w:rPr>
          <w:lang w:val="fr-BE"/>
        </w:rPr>
        <w:t xml:space="preserve">le calendrier, </w:t>
      </w:r>
      <w:r w:rsidRPr="00B608F3">
        <w:rPr>
          <w:lang w:val="fr-BE"/>
        </w:rPr>
        <w:t xml:space="preserve">y compris les </w:t>
      </w:r>
      <w:r>
        <w:rPr>
          <w:lang w:val="fr-BE"/>
        </w:rPr>
        <w:t xml:space="preserve">éléments proposés pour assurer une communication sur les valeurs de l'UE </w:t>
      </w:r>
    </w:p>
    <w:p w14:paraId="6FCC942B" w14:textId="77777777" w:rsidR="006B7923" w:rsidRDefault="006B7923" w:rsidP="00C31E13">
      <w:pPr>
        <w:spacing w:after="160" w:line="252" w:lineRule="auto"/>
        <w:contextualSpacing/>
        <w:jc w:val="both"/>
        <w:rPr>
          <w:b/>
          <w:lang w:val="fr-BE"/>
        </w:rPr>
      </w:pPr>
    </w:p>
    <w:p w14:paraId="165D1FA6" w14:textId="77777777" w:rsidR="00C31E13" w:rsidRPr="00B608F3" w:rsidRDefault="00C31E13" w:rsidP="00C31E13">
      <w:pPr>
        <w:spacing w:after="160" w:line="252" w:lineRule="auto"/>
        <w:contextualSpacing/>
        <w:jc w:val="both"/>
        <w:rPr>
          <w:lang w:val="fr-BE"/>
        </w:rPr>
      </w:pPr>
      <w:r w:rsidRPr="00C31E13">
        <w:rPr>
          <w:b/>
          <w:lang w:val="fr-BE"/>
        </w:rPr>
        <w:t>V.</w:t>
      </w:r>
      <w:r w:rsidRPr="00B608F3">
        <w:rPr>
          <w:lang w:val="fr-BE"/>
        </w:rPr>
        <w:t xml:space="preserve"> </w:t>
      </w:r>
      <w:r>
        <w:rPr>
          <w:lang w:val="fr-BE"/>
        </w:rPr>
        <w:t>A</w:t>
      </w:r>
      <w:r w:rsidRPr="00B608F3">
        <w:rPr>
          <w:lang w:val="fr-BE"/>
        </w:rPr>
        <w:t>nalyse de ce que l'activité apportera à l'UE en terme</w:t>
      </w:r>
      <w:r>
        <w:rPr>
          <w:lang w:val="fr-BE"/>
        </w:rPr>
        <w:t>s</w:t>
      </w:r>
      <w:r w:rsidRPr="00B608F3">
        <w:rPr>
          <w:lang w:val="fr-BE"/>
        </w:rPr>
        <w:t xml:space="preserve"> de communication sur </w:t>
      </w:r>
      <w:r>
        <w:rPr>
          <w:lang w:val="fr-BE"/>
        </w:rPr>
        <w:t xml:space="preserve">ses valeurs et sur </w:t>
      </w:r>
      <w:r w:rsidRPr="00B608F3">
        <w:rPr>
          <w:lang w:val="fr-BE"/>
        </w:rPr>
        <w:t>sa présence au Mali</w:t>
      </w:r>
    </w:p>
    <w:p w14:paraId="0D93D7AF" w14:textId="77777777" w:rsidR="006B7923" w:rsidRDefault="006B7923" w:rsidP="00C31E13">
      <w:pPr>
        <w:spacing w:after="160" w:line="252" w:lineRule="auto"/>
        <w:contextualSpacing/>
        <w:jc w:val="both"/>
        <w:rPr>
          <w:b/>
          <w:lang w:val="fr-BE"/>
        </w:rPr>
      </w:pPr>
    </w:p>
    <w:p w14:paraId="7BC606C6" w14:textId="77777777" w:rsidR="00C31E13" w:rsidRPr="00B608F3" w:rsidRDefault="00C31E13" w:rsidP="00C31E13">
      <w:pPr>
        <w:spacing w:after="160" w:line="252" w:lineRule="auto"/>
        <w:contextualSpacing/>
        <w:jc w:val="both"/>
        <w:rPr>
          <w:lang w:val="fr-BE"/>
        </w:rPr>
      </w:pPr>
      <w:r w:rsidRPr="00C31E13">
        <w:rPr>
          <w:b/>
          <w:lang w:val="fr-BE"/>
        </w:rPr>
        <w:t>VI.</w:t>
      </w:r>
      <w:r w:rsidRPr="00B608F3">
        <w:rPr>
          <w:lang w:val="fr-BE"/>
        </w:rPr>
        <w:t xml:space="preserve"> Analyse des parties prenantes </w:t>
      </w:r>
    </w:p>
    <w:p w14:paraId="76FECE97" w14:textId="77777777" w:rsidR="006B7923" w:rsidRDefault="006B7923" w:rsidP="00C31E13">
      <w:pPr>
        <w:spacing w:after="160" w:line="252" w:lineRule="auto"/>
        <w:contextualSpacing/>
        <w:jc w:val="both"/>
        <w:rPr>
          <w:b/>
          <w:lang w:val="fr-BE"/>
        </w:rPr>
      </w:pPr>
    </w:p>
    <w:p w14:paraId="28487004" w14:textId="77777777" w:rsidR="00C31E13" w:rsidRPr="00B608F3" w:rsidRDefault="00C31E13" w:rsidP="00C31E13">
      <w:pPr>
        <w:spacing w:after="160" w:line="252" w:lineRule="auto"/>
        <w:contextualSpacing/>
        <w:jc w:val="both"/>
        <w:rPr>
          <w:lang w:val="fr-BE"/>
        </w:rPr>
      </w:pPr>
      <w:r w:rsidRPr="00C31E13">
        <w:rPr>
          <w:b/>
          <w:lang w:val="fr-BE"/>
        </w:rPr>
        <w:t>VII.</w:t>
      </w:r>
      <w:r w:rsidRPr="00B608F3">
        <w:rPr>
          <w:lang w:val="fr-BE"/>
        </w:rPr>
        <w:t xml:space="preserve">  L'expérience du candidat et sa capacité à atteindre les résultats annoncés</w:t>
      </w:r>
    </w:p>
    <w:p w14:paraId="7DFE1859" w14:textId="77777777" w:rsidR="00C31E13" w:rsidRDefault="00C31E13" w:rsidP="00C31E13">
      <w:pPr>
        <w:spacing w:after="160" w:line="252" w:lineRule="auto"/>
        <w:contextualSpacing/>
        <w:jc w:val="both"/>
        <w:rPr>
          <w:lang w:val="fr-BE"/>
        </w:rPr>
      </w:pPr>
    </w:p>
    <w:p w14:paraId="17F918CD" w14:textId="77777777" w:rsidR="006B7923" w:rsidRDefault="006B7923" w:rsidP="00C31E13">
      <w:pPr>
        <w:spacing w:after="160" w:line="252" w:lineRule="auto"/>
        <w:contextualSpacing/>
        <w:jc w:val="both"/>
        <w:rPr>
          <w:b/>
          <w:lang w:val="fr-BE"/>
        </w:rPr>
      </w:pPr>
    </w:p>
    <w:p w14:paraId="4A393DB9" w14:textId="77777777" w:rsidR="00C31E13" w:rsidRPr="00C31E13" w:rsidRDefault="00C31E13" w:rsidP="00C31E13">
      <w:pPr>
        <w:spacing w:after="160" w:line="252" w:lineRule="auto"/>
        <w:contextualSpacing/>
        <w:jc w:val="both"/>
        <w:rPr>
          <w:b/>
          <w:lang w:val="fr-BE"/>
        </w:rPr>
      </w:pPr>
      <w:r w:rsidRPr="00C31E13">
        <w:rPr>
          <w:b/>
          <w:lang w:val="fr-BE"/>
        </w:rPr>
        <w:t>Annexes</w:t>
      </w:r>
    </w:p>
    <w:p w14:paraId="1101C677" w14:textId="77777777" w:rsidR="006B7923" w:rsidRDefault="006B7923" w:rsidP="00C31E13">
      <w:pPr>
        <w:spacing w:after="160" w:line="252" w:lineRule="auto"/>
        <w:contextualSpacing/>
        <w:jc w:val="both"/>
        <w:rPr>
          <w:b/>
          <w:lang w:val="fr-BE"/>
        </w:rPr>
      </w:pPr>
    </w:p>
    <w:p w14:paraId="0C27780F" w14:textId="77777777" w:rsidR="00C31E13" w:rsidRPr="00B608F3" w:rsidRDefault="00C31E13" w:rsidP="00C31E13">
      <w:pPr>
        <w:spacing w:after="160" w:line="252" w:lineRule="auto"/>
        <w:contextualSpacing/>
        <w:jc w:val="both"/>
        <w:rPr>
          <w:lang w:val="fr-BE"/>
        </w:rPr>
      </w:pPr>
      <w:r w:rsidRPr="00C31E13">
        <w:rPr>
          <w:b/>
          <w:lang w:val="fr-BE"/>
        </w:rPr>
        <w:t>Annexe I</w:t>
      </w:r>
      <w:r w:rsidRPr="00B608F3">
        <w:rPr>
          <w:lang w:val="fr-BE"/>
        </w:rPr>
        <w:t>: Budget détaillé. Le budget doit être présenté en détaillant les coûts unitaires et globaux dans les activités à mener et mentionné les autres sources de financement prévues, le cas échéant.</w:t>
      </w:r>
    </w:p>
    <w:p w14:paraId="61358D19" w14:textId="77777777" w:rsidR="006B7923" w:rsidRDefault="006B7923" w:rsidP="00C31E13">
      <w:pPr>
        <w:spacing w:after="160" w:line="252" w:lineRule="auto"/>
        <w:contextualSpacing/>
        <w:jc w:val="both"/>
        <w:rPr>
          <w:b/>
          <w:lang w:val="fr-BE"/>
        </w:rPr>
      </w:pPr>
    </w:p>
    <w:p w14:paraId="5E72D404" w14:textId="7E18C834" w:rsidR="00C31E13" w:rsidRPr="00B608F3" w:rsidRDefault="00C31E13" w:rsidP="00C31E13">
      <w:pPr>
        <w:spacing w:after="160" w:line="252" w:lineRule="auto"/>
        <w:contextualSpacing/>
        <w:jc w:val="both"/>
        <w:rPr>
          <w:lang w:val="fr-BE"/>
        </w:rPr>
      </w:pPr>
      <w:r w:rsidRPr="00C31E13">
        <w:rPr>
          <w:b/>
          <w:lang w:val="fr-BE"/>
        </w:rPr>
        <w:t>Annexe II</w:t>
      </w:r>
      <w:r w:rsidRPr="00B608F3">
        <w:rPr>
          <w:lang w:val="fr-BE"/>
        </w:rPr>
        <w:t>: Eléments administratifs. Les candidats doivent présenter en annexe leur statut ou règlement intérieur, un récépissé de l’association ou une copie du registre du commerce et un rapport d'une activité récente.</w:t>
      </w:r>
    </w:p>
    <w:p w14:paraId="763C98C8" w14:textId="77777777" w:rsidR="00C31E13" w:rsidRDefault="00C31E13">
      <w:pPr>
        <w:rPr>
          <w:b/>
          <w:lang w:val="fr-BE"/>
        </w:rPr>
      </w:pPr>
      <w:r>
        <w:rPr>
          <w:b/>
          <w:lang w:val="fr-BE"/>
        </w:rPr>
        <w:br w:type="page"/>
      </w:r>
    </w:p>
    <w:p w14:paraId="0DBE301D" w14:textId="77777777" w:rsidR="00C31E13" w:rsidRPr="00C31E13" w:rsidRDefault="00C31E13" w:rsidP="00C31E13">
      <w:pPr>
        <w:spacing w:after="120" w:line="240" w:lineRule="auto"/>
        <w:jc w:val="both"/>
        <w:rPr>
          <w:b/>
          <w:lang w:val="fr-BE"/>
        </w:rPr>
      </w:pPr>
      <w:r w:rsidRPr="00C31E13">
        <w:rPr>
          <w:b/>
          <w:lang w:val="fr-BE"/>
        </w:rPr>
        <w:lastRenderedPageBreak/>
        <w:t>Annexe 2.</w:t>
      </w:r>
    </w:p>
    <w:p w14:paraId="54487AF6" w14:textId="77777777" w:rsidR="007036F7" w:rsidRPr="00B608F3" w:rsidRDefault="007036F7" w:rsidP="007036F7">
      <w:pPr>
        <w:spacing w:after="120" w:line="240" w:lineRule="auto"/>
        <w:jc w:val="center"/>
        <w:rPr>
          <w:b/>
          <w:sz w:val="28"/>
          <w:lang w:val="fr-BE"/>
        </w:rPr>
      </w:pPr>
      <w:r w:rsidRPr="00B608F3">
        <w:rPr>
          <w:b/>
          <w:sz w:val="28"/>
          <w:lang w:val="fr-BE"/>
        </w:rPr>
        <w:t>Opportunité de financement de projets culturels par l'Union européenne au Mali</w:t>
      </w:r>
    </w:p>
    <w:p w14:paraId="7BA21292" w14:textId="77777777" w:rsidR="007036F7" w:rsidRPr="00B608F3" w:rsidRDefault="007036F7" w:rsidP="007036F7">
      <w:pPr>
        <w:spacing w:after="120" w:line="240" w:lineRule="auto"/>
        <w:jc w:val="center"/>
        <w:rPr>
          <w:sz w:val="28"/>
          <w:u w:val="single"/>
          <w:lang w:val="fr-BE"/>
        </w:rPr>
      </w:pPr>
      <w:r w:rsidRPr="00B608F3">
        <w:rPr>
          <w:sz w:val="28"/>
          <w:u w:val="single"/>
          <w:lang w:val="fr-BE"/>
        </w:rPr>
        <w:t xml:space="preserve">"La culture pour la paix – Unis dans la diversité" </w:t>
      </w:r>
    </w:p>
    <w:p w14:paraId="13AF57C3" w14:textId="77777777" w:rsidR="007036F7" w:rsidRPr="00B608F3" w:rsidRDefault="007036F7" w:rsidP="007036F7">
      <w:pPr>
        <w:spacing w:after="120" w:line="240" w:lineRule="auto"/>
        <w:jc w:val="center"/>
        <w:rPr>
          <w:b/>
          <w:lang w:val="fr-BE"/>
        </w:rPr>
      </w:pPr>
      <w:r w:rsidRPr="00B608F3">
        <w:rPr>
          <w:b/>
          <w:lang w:val="fr-BE"/>
        </w:rPr>
        <w:t>Grille d'évaluation des candidatures reçues</w:t>
      </w:r>
    </w:p>
    <w:p w14:paraId="48C69CE5" w14:textId="77777777" w:rsidR="007036F7" w:rsidRPr="00B608F3" w:rsidRDefault="007036F7" w:rsidP="00B608F3">
      <w:pPr>
        <w:spacing w:after="0" w:line="240" w:lineRule="auto"/>
        <w:jc w:val="both"/>
        <w:rPr>
          <w:lang w:val="fr-BE"/>
        </w:rPr>
      </w:pPr>
    </w:p>
    <w:p w14:paraId="067DDADB" w14:textId="77777777" w:rsidR="007036F7" w:rsidRPr="00B608F3" w:rsidRDefault="007036F7" w:rsidP="00B608F3">
      <w:pPr>
        <w:spacing w:after="0" w:line="240" w:lineRule="auto"/>
        <w:jc w:val="both"/>
        <w:rPr>
          <w:lang w:val="fr-BE"/>
        </w:rPr>
      </w:pPr>
      <w:r w:rsidRPr="00B608F3">
        <w:rPr>
          <w:lang w:val="fr-BE"/>
        </w:rPr>
        <w:t xml:space="preserve">Veuillez trouver ci-dessous la grille qui sera utilisée pour évaluer et comparer chacune des candidatures reçues dans le cadre de cet appel à manifestation d'intérêt. </w:t>
      </w:r>
    </w:p>
    <w:p w14:paraId="2541B8FC" w14:textId="77777777" w:rsidR="007036F7" w:rsidRPr="00B608F3" w:rsidRDefault="007036F7" w:rsidP="00B608F3">
      <w:pPr>
        <w:spacing w:after="0" w:line="240" w:lineRule="auto"/>
        <w:jc w:val="both"/>
        <w:rPr>
          <w:lang w:val="fr-B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7"/>
        <w:gridCol w:w="5752"/>
      </w:tblGrid>
      <w:tr w:rsidR="00B608F3" w:rsidRPr="00B608F3" w14:paraId="059FFC0D" w14:textId="77777777" w:rsidTr="00B608F3">
        <w:tc>
          <w:tcPr>
            <w:tcW w:w="4137" w:type="dxa"/>
            <w:tcBorders>
              <w:top w:val="single" w:sz="4" w:space="0" w:color="auto"/>
              <w:left w:val="single" w:sz="4" w:space="0" w:color="auto"/>
              <w:bottom w:val="single" w:sz="4" w:space="0" w:color="auto"/>
              <w:right w:val="single" w:sz="4" w:space="0" w:color="auto"/>
            </w:tcBorders>
            <w:hideMark/>
          </w:tcPr>
          <w:p w14:paraId="65626294" w14:textId="77777777" w:rsidR="00B608F3" w:rsidRPr="00B608F3" w:rsidRDefault="00B608F3" w:rsidP="008319EE">
            <w:pPr>
              <w:spacing w:after="0" w:line="240" w:lineRule="auto"/>
              <w:rPr>
                <w:b/>
                <w:lang w:val="fr-BE" w:eastAsia="fr-FR" w:bidi="fr-FR"/>
              </w:rPr>
            </w:pPr>
            <w:r w:rsidRPr="00B608F3">
              <w:rPr>
                <w:b/>
                <w:lang w:val="fr-BE"/>
              </w:rPr>
              <w:t xml:space="preserve">Grille </w:t>
            </w:r>
            <w:r w:rsidR="008319EE">
              <w:rPr>
                <w:b/>
                <w:lang w:val="fr-BE"/>
              </w:rPr>
              <w:t>remplie</w:t>
            </w:r>
            <w:r w:rsidRPr="00B608F3">
              <w:rPr>
                <w:b/>
                <w:lang w:val="fr-BE"/>
              </w:rPr>
              <w:t xml:space="preserve"> par</w:t>
            </w:r>
          </w:p>
        </w:tc>
        <w:tc>
          <w:tcPr>
            <w:tcW w:w="5752" w:type="dxa"/>
            <w:tcBorders>
              <w:top w:val="single" w:sz="4" w:space="0" w:color="auto"/>
              <w:left w:val="single" w:sz="4" w:space="0" w:color="auto"/>
              <w:bottom w:val="single" w:sz="4" w:space="0" w:color="auto"/>
              <w:right w:val="single" w:sz="4" w:space="0" w:color="auto"/>
            </w:tcBorders>
          </w:tcPr>
          <w:p w14:paraId="0A6CA91A" w14:textId="77777777" w:rsidR="00B608F3" w:rsidRPr="00B608F3" w:rsidRDefault="00B608F3" w:rsidP="00B608F3">
            <w:pPr>
              <w:spacing w:after="0" w:line="240" w:lineRule="auto"/>
              <w:rPr>
                <w:lang w:val="fr-BE" w:eastAsia="fr-FR" w:bidi="fr-FR"/>
              </w:rPr>
            </w:pPr>
          </w:p>
        </w:tc>
      </w:tr>
      <w:tr w:rsidR="00B608F3" w:rsidRPr="00B608F3" w14:paraId="77BDBC23" w14:textId="77777777" w:rsidTr="00B608F3">
        <w:tc>
          <w:tcPr>
            <w:tcW w:w="4137" w:type="dxa"/>
            <w:tcBorders>
              <w:top w:val="single" w:sz="4" w:space="0" w:color="auto"/>
              <w:left w:val="single" w:sz="4" w:space="0" w:color="auto"/>
              <w:bottom w:val="single" w:sz="4" w:space="0" w:color="auto"/>
              <w:right w:val="single" w:sz="4" w:space="0" w:color="auto"/>
            </w:tcBorders>
            <w:hideMark/>
          </w:tcPr>
          <w:p w14:paraId="65953BA3" w14:textId="77777777" w:rsidR="00B608F3" w:rsidRPr="00B608F3" w:rsidRDefault="00B608F3" w:rsidP="00B608F3">
            <w:pPr>
              <w:spacing w:after="0" w:line="240" w:lineRule="auto"/>
              <w:rPr>
                <w:lang w:val="fr-BE" w:eastAsia="fr-FR" w:bidi="fr-FR"/>
              </w:rPr>
            </w:pPr>
            <w:r w:rsidRPr="00B608F3">
              <w:rPr>
                <w:b/>
                <w:lang w:val="fr-BE"/>
              </w:rPr>
              <w:t>Numéro de la proposition</w:t>
            </w:r>
          </w:p>
        </w:tc>
        <w:tc>
          <w:tcPr>
            <w:tcW w:w="5752" w:type="dxa"/>
            <w:tcBorders>
              <w:top w:val="single" w:sz="4" w:space="0" w:color="auto"/>
              <w:left w:val="single" w:sz="4" w:space="0" w:color="auto"/>
              <w:bottom w:val="single" w:sz="4" w:space="0" w:color="auto"/>
              <w:right w:val="single" w:sz="4" w:space="0" w:color="auto"/>
            </w:tcBorders>
          </w:tcPr>
          <w:p w14:paraId="291DCFE8" w14:textId="77777777" w:rsidR="00B608F3" w:rsidRPr="00B608F3" w:rsidRDefault="00B608F3" w:rsidP="00B608F3">
            <w:pPr>
              <w:spacing w:after="0" w:line="240" w:lineRule="auto"/>
              <w:rPr>
                <w:lang w:val="fr-BE" w:eastAsia="fr-FR" w:bidi="fr-FR"/>
              </w:rPr>
            </w:pPr>
          </w:p>
        </w:tc>
      </w:tr>
      <w:tr w:rsidR="00B608F3" w:rsidRPr="00B608F3" w14:paraId="2D5D902C" w14:textId="77777777" w:rsidTr="00B608F3">
        <w:tc>
          <w:tcPr>
            <w:tcW w:w="4137" w:type="dxa"/>
            <w:tcBorders>
              <w:top w:val="single" w:sz="4" w:space="0" w:color="auto"/>
              <w:left w:val="single" w:sz="4" w:space="0" w:color="auto"/>
              <w:bottom w:val="single" w:sz="4" w:space="0" w:color="auto"/>
              <w:right w:val="single" w:sz="4" w:space="0" w:color="auto"/>
            </w:tcBorders>
            <w:hideMark/>
          </w:tcPr>
          <w:p w14:paraId="44E78825" w14:textId="77777777" w:rsidR="00B608F3" w:rsidRPr="00B608F3" w:rsidRDefault="00B608F3" w:rsidP="00B608F3">
            <w:pPr>
              <w:spacing w:after="0" w:line="240" w:lineRule="auto"/>
              <w:rPr>
                <w:b/>
                <w:lang w:val="fr-BE" w:eastAsia="fr-FR" w:bidi="fr-FR"/>
              </w:rPr>
            </w:pPr>
            <w:r w:rsidRPr="00B608F3">
              <w:rPr>
                <w:b/>
                <w:lang w:val="fr-BE"/>
              </w:rPr>
              <w:t xml:space="preserve">Nom du demandeur </w:t>
            </w:r>
          </w:p>
        </w:tc>
        <w:tc>
          <w:tcPr>
            <w:tcW w:w="5752" w:type="dxa"/>
            <w:tcBorders>
              <w:top w:val="single" w:sz="4" w:space="0" w:color="auto"/>
              <w:left w:val="single" w:sz="4" w:space="0" w:color="auto"/>
              <w:bottom w:val="single" w:sz="4" w:space="0" w:color="auto"/>
              <w:right w:val="single" w:sz="4" w:space="0" w:color="auto"/>
            </w:tcBorders>
          </w:tcPr>
          <w:p w14:paraId="015ECFFB" w14:textId="77777777" w:rsidR="00B608F3" w:rsidRPr="00B608F3" w:rsidRDefault="00B608F3" w:rsidP="00B608F3">
            <w:pPr>
              <w:spacing w:after="0" w:line="240" w:lineRule="auto"/>
              <w:rPr>
                <w:b/>
                <w:color w:val="000000"/>
                <w:lang w:val="fr-BE" w:eastAsia="fr-FR" w:bidi="fr-FR"/>
              </w:rPr>
            </w:pPr>
          </w:p>
        </w:tc>
      </w:tr>
      <w:tr w:rsidR="00B608F3" w:rsidRPr="00B608F3" w14:paraId="60A963F2" w14:textId="77777777" w:rsidTr="00B608F3">
        <w:tc>
          <w:tcPr>
            <w:tcW w:w="4137" w:type="dxa"/>
            <w:tcBorders>
              <w:top w:val="single" w:sz="4" w:space="0" w:color="auto"/>
              <w:left w:val="single" w:sz="4" w:space="0" w:color="auto"/>
              <w:bottom w:val="single" w:sz="4" w:space="0" w:color="auto"/>
              <w:right w:val="single" w:sz="4" w:space="0" w:color="auto"/>
            </w:tcBorders>
            <w:hideMark/>
          </w:tcPr>
          <w:p w14:paraId="7970C678" w14:textId="77777777" w:rsidR="00B608F3" w:rsidRPr="00B608F3" w:rsidRDefault="00B608F3" w:rsidP="00B608F3">
            <w:pPr>
              <w:spacing w:after="0" w:line="240" w:lineRule="auto"/>
              <w:rPr>
                <w:b/>
                <w:lang w:val="fr-BE"/>
              </w:rPr>
            </w:pPr>
            <w:r w:rsidRPr="00B608F3">
              <w:rPr>
                <w:b/>
                <w:lang w:val="fr-BE"/>
              </w:rPr>
              <w:t>Intitulé de l’action</w:t>
            </w:r>
          </w:p>
        </w:tc>
        <w:tc>
          <w:tcPr>
            <w:tcW w:w="5752" w:type="dxa"/>
            <w:tcBorders>
              <w:top w:val="single" w:sz="4" w:space="0" w:color="auto"/>
              <w:left w:val="single" w:sz="4" w:space="0" w:color="auto"/>
              <w:bottom w:val="single" w:sz="4" w:space="0" w:color="auto"/>
              <w:right w:val="single" w:sz="4" w:space="0" w:color="auto"/>
            </w:tcBorders>
          </w:tcPr>
          <w:p w14:paraId="767AD0CE" w14:textId="77777777" w:rsidR="00B608F3" w:rsidRPr="00B608F3" w:rsidRDefault="00B608F3" w:rsidP="00B608F3">
            <w:pPr>
              <w:spacing w:after="0" w:line="240" w:lineRule="auto"/>
              <w:rPr>
                <w:b/>
                <w:bCs/>
                <w:color w:val="000000"/>
                <w:lang w:val="fr-BE" w:eastAsia="fr-FR" w:bidi="fr-FR"/>
              </w:rPr>
            </w:pPr>
          </w:p>
        </w:tc>
      </w:tr>
      <w:tr w:rsidR="00B608F3" w:rsidRPr="001732EE" w14:paraId="1BA242AE" w14:textId="77777777" w:rsidTr="00B608F3">
        <w:tc>
          <w:tcPr>
            <w:tcW w:w="4137" w:type="dxa"/>
            <w:tcBorders>
              <w:top w:val="single" w:sz="4" w:space="0" w:color="auto"/>
              <w:left w:val="single" w:sz="4" w:space="0" w:color="auto"/>
              <w:bottom w:val="single" w:sz="4" w:space="0" w:color="auto"/>
              <w:right w:val="single" w:sz="4" w:space="0" w:color="auto"/>
            </w:tcBorders>
          </w:tcPr>
          <w:p w14:paraId="5D6C3785" w14:textId="77777777" w:rsidR="00B608F3" w:rsidRPr="00B608F3" w:rsidRDefault="00B608F3" w:rsidP="00B608F3">
            <w:pPr>
              <w:spacing w:after="0" w:line="240" w:lineRule="auto"/>
              <w:rPr>
                <w:b/>
                <w:lang w:val="fr-BE"/>
              </w:rPr>
            </w:pPr>
            <w:r>
              <w:rPr>
                <w:b/>
                <w:lang w:val="fr-BE"/>
              </w:rPr>
              <w:t>Montant total de l'action (FCFA)</w:t>
            </w:r>
          </w:p>
        </w:tc>
        <w:tc>
          <w:tcPr>
            <w:tcW w:w="5752" w:type="dxa"/>
            <w:tcBorders>
              <w:top w:val="single" w:sz="4" w:space="0" w:color="auto"/>
              <w:left w:val="single" w:sz="4" w:space="0" w:color="auto"/>
              <w:bottom w:val="single" w:sz="4" w:space="0" w:color="auto"/>
              <w:right w:val="single" w:sz="4" w:space="0" w:color="auto"/>
            </w:tcBorders>
          </w:tcPr>
          <w:p w14:paraId="1B9AC5C8" w14:textId="77777777" w:rsidR="00B608F3" w:rsidRPr="00B608F3" w:rsidRDefault="00B608F3" w:rsidP="00B608F3">
            <w:pPr>
              <w:spacing w:after="0" w:line="240" w:lineRule="auto"/>
              <w:rPr>
                <w:b/>
                <w:bCs/>
                <w:color w:val="000000"/>
                <w:lang w:val="fr-BE" w:eastAsia="fr-FR" w:bidi="fr-FR"/>
              </w:rPr>
            </w:pPr>
          </w:p>
        </w:tc>
      </w:tr>
      <w:tr w:rsidR="00B608F3" w:rsidRPr="001732EE" w14:paraId="0F302C46" w14:textId="77777777" w:rsidTr="00B608F3">
        <w:tc>
          <w:tcPr>
            <w:tcW w:w="4137" w:type="dxa"/>
            <w:tcBorders>
              <w:top w:val="single" w:sz="4" w:space="0" w:color="auto"/>
              <w:left w:val="single" w:sz="4" w:space="0" w:color="auto"/>
              <w:bottom w:val="single" w:sz="4" w:space="0" w:color="auto"/>
              <w:right w:val="single" w:sz="4" w:space="0" w:color="auto"/>
            </w:tcBorders>
          </w:tcPr>
          <w:p w14:paraId="3AE4C974" w14:textId="77777777" w:rsidR="00B608F3" w:rsidRDefault="00B608F3" w:rsidP="00B608F3">
            <w:pPr>
              <w:spacing w:after="0" w:line="240" w:lineRule="auto"/>
              <w:rPr>
                <w:b/>
                <w:lang w:val="fr-BE"/>
              </w:rPr>
            </w:pPr>
            <w:r>
              <w:rPr>
                <w:b/>
                <w:lang w:val="fr-BE"/>
              </w:rPr>
              <w:t>Montant de la contribution de l'UE (FCFA)</w:t>
            </w:r>
          </w:p>
        </w:tc>
        <w:tc>
          <w:tcPr>
            <w:tcW w:w="5752" w:type="dxa"/>
            <w:tcBorders>
              <w:top w:val="single" w:sz="4" w:space="0" w:color="auto"/>
              <w:left w:val="single" w:sz="4" w:space="0" w:color="auto"/>
              <w:bottom w:val="single" w:sz="4" w:space="0" w:color="auto"/>
              <w:right w:val="single" w:sz="4" w:space="0" w:color="auto"/>
            </w:tcBorders>
          </w:tcPr>
          <w:p w14:paraId="7611427A" w14:textId="77777777" w:rsidR="00B608F3" w:rsidRPr="00B608F3" w:rsidRDefault="00B608F3" w:rsidP="00B608F3">
            <w:pPr>
              <w:spacing w:after="0" w:line="240" w:lineRule="auto"/>
              <w:rPr>
                <w:b/>
                <w:bCs/>
                <w:color w:val="000000"/>
                <w:lang w:val="fr-BE" w:eastAsia="fr-FR" w:bidi="fr-FR"/>
              </w:rPr>
            </w:pPr>
          </w:p>
        </w:tc>
      </w:tr>
      <w:tr w:rsidR="00B608F3" w:rsidRPr="00B608F3" w14:paraId="7B8CFFC6" w14:textId="77777777" w:rsidTr="00B608F3">
        <w:tc>
          <w:tcPr>
            <w:tcW w:w="4137" w:type="dxa"/>
            <w:tcBorders>
              <w:top w:val="single" w:sz="4" w:space="0" w:color="auto"/>
              <w:left w:val="single" w:sz="4" w:space="0" w:color="auto"/>
              <w:bottom w:val="single" w:sz="4" w:space="0" w:color="auto"/>
              <w:right w:val="single" w:sz="4" w:space="0" w:color="auto"/>
            </w:tcBorders>
          </w:tcPr>
          <w:p w14:paraId="461F26E9" w14:textId="77777777" w:rsidR="00B608F3" w:rsidRDefault="00B608F3" w:rsidP="00B608F3">
            <w:pPr>
              <w:spacing w:after="0" w:line="240" w:lineRule="auto"/>
              <w:rPr>
                <w:b/>
                <w:lang w:val="fr-BE"/>
              </w:rPr>
            </w:pPr>
            <w:r>
              <w:rPr>
                <w:b/>
                <w:lang w:val="fr-BE"/>
              </w:rPr>
              <w:t>Durée (mois)</w:t>
            </w:r>
          </w:p>
        </w:tc>
        <w:tc>
          <w:tcPr>
            <w:tcW w:w="5752" w:type="dxa"/>
            <w:tcBorders>
              <w:top w:val="single" w:sz="4" w:space="0" w:color="auto"/>
              <w:left w:val="single" w:sz="4" w:space="0" w:color="auto"/>
              <w:bottom w:val="single" w:sz="4" w:space="0" w:color="auto"/>
              <w:right w:val="single" w:sz="4" w:space="0" w:color="auto"/>
            </w:tcBorders>
          </w:tcPr>
          <w:p w14:paraId="34249C4D" w14:textId="77777777" w:rsidR="00B608F3" w:rsidRPr="00B608F3" w:rsidRDefault="00B608F3" w:rsidP="00B608F3">
            <w:pPr>
              <w:spacing w:after="0" w:line="240" w:lineRule="auto"/>
              <w:rPr>
                <w:b/>
                <w:bCs/>
                <w:color w:val="000000"/>
                <w:lang w:val="fr-BE" w:eastAsia="fr-FR" w:bidi="fr-FR"/>
              </w:rPr>
            </w:pPr>
          </w:p>
        </w:tc>
      </w:tr>
    </w:tbl>
    <w:p w14:paraId="6B3D4BE8" w14:textId="77777777" w:rsidR="00B608F3" w:rsidRDefault="00B608F3" w:rsidP="00B608F3">
      <w:pPr>
        <w:spacing w:after="0" w:line="240" w:lineRule="auto"/>
        <w:rPr>
          <w:b/>
          <w:lang w:val="fr-BE"/>
        </w:rPr>
      </w:pPr>
    </w:p>
    <w:p w14:paraId="29960296" w14:textId="77777777" w:rsidR="00B608F3" w:rsidRDefault="00B608F3" w:rsidP="005B271E">
      <w:pPr>
        <w:pBdr>
          <w:top w:val="single" w:sz="4" w:space="1" w:color="auto"/>
          <w:left w:val="single" w:sz="4" w:space="4" w:color="auto"/>
          <w:bottom w:val="single" w:sz="4" w:space="1" w:color="auto"/>
          <w:right w:val="single" w:sz="4" w:space="4" w:color="auto"/>
        </w:pBdr>
        <w:spacing w:after="0" w:line="240" w:lineRule="auto"/>
        <w:rPr>
          <w:b/>
          <w:lang w:val="fr-BE"/>
        </w:rPr>
      </w:pPr>
      <w:r>
        <w:rPr>
          <w:b/>
          <w:lang w:val="fr-BE"/>
        </w:rPr>
        <w:t>Demande reçue dans les délais de soumission: OUI / NON (éliminatoire)</w:t>
      </w:r>
    </w:p>
    <w:p w14:paraId="7AEDFF58" w14:textId="77777777" w:rsidR="00B608F3" w:rsidRDefault="00B608F3" w:rsidP="005B271E">
      <w:pPr>
        <w:pBdr>
          <w:top w:val="single" w:sz="4" w:space="1" w:color="auto"/>
          <w:left w:val="single" w:sz="4" w:space="4" w:color="auto"/>
          <w:bottom w:val="single" w:sz="4" w:space="1" w:color="auto"/>
          <w:right w:val="single" w:sz="4" w:space="4" w:color="auto"/>
        </w:pBdr>
        <w:spacing w:after="0" w:line="240" w:lineRule="auto"/>
        <w:rPr>
          <w:b/>
          <w:lang w:val="fr-BE"/>
        </w:rPr>
      </w:pPr>
      <w:r>
        <w:rPr>
          <w:b/>
          <w:lang w:val="fr-BE"/>
        </w:rPr>
        <w:t xml:space="preserve">Dossier </w:t>
      </w:r>
      <w:r w:rsidRPr="00B608F3">
        <w:rPr>
          <w:b/>
          <w:lang w:val="fr-BE"/>
        </w:rPr>
        <w:t>complet (sur base du modèle: 7 chapitres + 2 annexes)</w:t>
      </w:r>
      <w:r>
        <w:rPr>
          <w:b/>
          <w:lang w:val="fr-BE"/>
        </w:rPr>
        <w:t>: OUI / NON (éliminatoire)</w:t>
      </w:r>
    </w:p>
    <w:p w14:paraId="1769BE6B" w14:textId="77777777" w:rsidR="005B271E" w:rsidRDefault="005B271E" w:rsidP="00B608F3">
      <w:pPr>
        <w:spacing w:after="0" w:line="240" w:lineRule="auto"/>
        <w:rPr>
          <w:b/>
          <w:lang w:val="fr-BE"/>
        </w:rPr>
      </w:pPr>
    </w:p>
    <w:tbl>
      <w:tblPr>
        <w:tblStyle w:val="Grilledutableau"/>
        <w:tblW w:w="0" w:type="auto"/>
        <w:tblLook w:val="04A0" w:firstRow="1" w:lastRow="0" w:firstColumn="1" w:lastColumn="0" w:noHBand="0" w:noVBand="1"/>
      </w:tblPr>
      <w:tblGrid>
        <w:gridCol w:w="5778"/>
        <w:gridCol w:w="1843"/>
        <w:gridCol w:w="2157"/>
      </w:tblGrid>
      <w:tr w:rsidR="005B271E" w14:paraId="2BEEEE44" w14:textId="77777777" w:rsidTr="005B271E">
        <w:tc>
          <w:tcPr>
            <w:tcW w:w="5778" w:type="dxa"/>
            <w:vMerge w:val="restart"/>
            <w:tcBorders>
              <w:top w:val="nil"/>
              <w:left w:val="nil"/>
              <w:bottom w:val="nil"/>
            </w:tcBorders>
          </w:tcPr>
          <w:p w14:paraId="4EBAD4A1" w14:textId="77777777" w:rsidR="005B271E" w:rsidRPr="005B271E" w:rsidRDefault="005B271E" w:rsidP="005B271E">
            <w:pPr>
              <w:rPr>
                <w:b/>
                <w:u w:val="single"/>
                <w:lang w:val="fr-BE" w:eastAsia="fr-FR" w:bidi="fr-FR"/>
              </w:rPr>
            </w:pPr>
            <w:r w:rsidRPr="005B271E">
              <w:rPr>
                <w:b/>
                <w:u w:val="single"/>
                <w:lang w:val="fr-BE"/>
              </w:rPr>
              <w:t>Instructions concernant la notation</w:t>
            </w:r>
          </w:p>
          <w:p w14:paraId="707C0272" w14:textId="77777777" w:rsidR="005B271E" w:rsidRPr="005B271E" w:rsidRDefault="005B271E" w:rsidP="005B271E">
            <w:pPr>
              <w:jc w:val="both"/>
              <w:rPr>
                <w:lang w:val="fr-BE"/>
              </w:rPr>
            </w:pPr>
            <w:r w:rsidRPr="00B608F3">
              <w:rPr>
                <w:lang w:val="fr-BE"/>
              </w:rPr>
              <w:t xml:space="preserve">La présente grille d’évaluation est divisée en </w:t>
            </w:r>
            <w:r w:rsidRPr="00B608F3">
              <w:rPr>
                <w:b/>
                <w:lang w:val="fr-BE"/>
              </w:rPr>
              <w:t>rubriques</w:t>
            </w:r>
            <w:r w:rsidRPr="00B608F3">
              <w:rPr>
                <w:lang w:val="fr-BE"/>
              </w:rPr>
              <w:t xml:space="preserve"> et en </w:t>
            </w:r>
            <w:r w:rsidRPr="00B608F3">
              <w:rPr>
                <w:b/>
                <w:lang w:val="fr-BE"/>
              </w:rPr>
              <w:t>sous-rubriques</w:t>
            </w:r>
            <w:r w:rsidRPr="00B608F3">
              <w:rPr>
                <w:lang w:val="fr-BE"/>
              </w:rPr>
              <w:t>. Chaque sous-rubrique doit se voir attribuer une note, comprise entre 1 et 5, conformément aux instructions ci-</w:t>
            </w:r>
            <w:r>
              <w:rPr>
                <w:lang w:val="fr-BE"/>
              </w:rPr>
              <w:t>contre</w:t>
            </w:r>
            <w:r w:rsidRPr="00B608F3">
              <w:rPr>
                <w:lang w:val="fr-BE"/>
              </w:rPr>
              <w:t>:</w:t>
            </w:r>
          </w:p>
        </w:tc>
        <w:tc>
          <w:tcPr>
            <w:tcW w:w="1843" w:type="dxa"/>
            <w:shd w:val="clear" w:color="auto" w:fill="D9D9D9" w:themeFill="background1" w:themeFillShade="D9"/>
          </w:tcPr>
          <w:p w14:paraId="6076C713" w14:textId="77777777" w:rsidR="005B271E" w:rsidRPr="005B271E" w:rsidRDefault="005B271E" w:rsidP="005D5696">
            <w:pPr>
              <w:jc w:val="center"/>
              <w:rPr>
                <w:b/>
                <w:lang w:val="fr-BE" w:eastAsia="fr-FR" w:bidi="fr-FR"/>
              </w:rPr>
            </w:pPr>
            <w:r w:rsidRPr="005B271E">
              <w:rPr>
                <w:b/>
                <w:lang w:val="fr-BE"/>
              </w:rPr>
              <w:t>Note</w:t>
            </w:r>
          </w:p>
        </w:tc>
        <w:tc>
          <w:tcPr>
            <w:tcW w:w="2157" w:type="dxa"/>
            <w:shd w:val="clear" w:color="auto" w:fill="D9D9D9" w:themeFill="background1" w:themeFillShade="D9"/>
          </w:tcPr>
          <w:p w14:paraId="47C000E3" w14:textId="77777777" w:rsidR="005B271E" w:rsidRPr="005B271E" w:rsidRDefault="005B271E" w:rsidP="005D5696">
            <w:pPr>
              <w:jc w:val="center"/>
              <w:rPr>
                <w:b/>
                <w:lang w:val="fr-BE" w:eastAsia="fr-FR" w:bidi="fr-FR"/>
              </w:rPr>
            </w:pPr>
            <w:r w:rsidRPr="005B271E">
              <w:rPr>
                <w:b/>
                <w:lang w:val="fr-BE"/>
              </w:rPr>
              <w:t>Valeur</w:t>
            </w:r>
          </w:p>
        </w:tc>
      </w:tr>
      <w:tr w:rsidR="005B271E" w14:paraId="5E5C5FF9" w14:textId="77777777" w:rsidTr="005B271E">
        <w:tc>
          <w:tcPr>
            <w:tcW w:w="5778" w:type="dxa"/>
            <w:vMerge/>
            <w:tcBorders>
              <w:left w:val="nil"/>
              <w:bottom w:val="nil"/>
            </w:tcBorders>
          </w:tcPr>
          <w:p w14:paraId="08376C77" w14:textId="77777777" w:rsidR="005B271E" w:rsidRDefault="005B271E" w:rsidP="00B608F3">
            <w:pPr>
              <w:rPr>
                <w:b/>
                <w:lang w:val="fr-BE"/>
              </w:rPr>
            </w:pPr>
          </w:p>
        </w:tc>
        <w:tc>
          <w:tcPr>
            <w:tcW w:w="1843" w:type="dxa"/>
          </w:tcPr>
          <w:p w14:paraId="5148C8D4" w14:textId="77777777" w:rsidR="005B271E" w:rsidRPr="00B608F3" w:rsidRDefault="005B271E" w:rsidP="005D5696">
            <w:pPr>
              <w:jc w:val="center"/>
              <w:rPr>
                <w:lang w:val="fr-BE" w:eastAsia="fr-FR" w:bidi="fr-FR"/>
              </w:rPr>
            </w:pPr>
            <w:r w:rsidRPr="00B608F3">
              <w:rPr>
                <w:lang w:val="fr-BE"/>
              </w:rPr>
              <w:t>1</w:t>
            </w:r>
          </w:p>
        </w:tc>
        <w:tc>
          <w:tcPr>
            <w:tcW w:w="2157" w:type="dxa"/>
          </w:tcPr>
          <w:p w14:paraId="704D3E4F" w14:textId="77777777" w:rsidR="005B271E" w:rsidRPr="00B608F3" w:rsidRDefault="005B271E" w:rsidP="005D5696">
            <w:pPr>
              <w:jc w:val="center"/>
              <w:rPr>
                <w:lang w:val="fr-BE" w:eastAsia="fr-FR" w:bidi="fr-FR"/>
              </w:rPr>
            </w:pPr>
            <w:r w:rsidRPr="00B608F3">
              <w:rPr>
                <w:lang w:val="fr-BE"/>
              </w:rPr>
              <w:t>très insuffisant</w:t>
            </w:r>
          </w:p>
        </w:tc>
      </w:tr>
      <w:tr w:rsidR="005B271E" w14:paraId="1B3F966B" w14:textId="77777777" w:rsidTr="005B271E">
        <w:tc>
          <w:tcPr>
            <w:tcW w:w="5778" w:type="dxa"/>
            <w:vMerge/>
            <w:tcBorders>
              <w:left w:val="nil"/>
              <w:bottom w:val="nil"/>
            </w:tcBorders>
          </w:tcPr>
          <w:p w14:paraId="18DAB64A" w14:textId="77777777" w:rsidR="005B271E" w:rsidRDefault="005B271E" w:rsidP="00B608F3">
            <w:pPr>
              <w:rPr>
                <w:b/>
                <w:lang w:val="fr-BE"/>
              </w:rPr>
            </w:pPr>
          </w:p>
        </w:tc>
        <w:tc>
          <w:tcPr>
            <w:tcW w:w="1843" w:type="dxa"/>
          </w:tcPr>
          <w:p w14:paraId="198FFEC4" w14:textId="77777777" w:rsidR="005B271E" w:rsidRPr="00B608F3" w:rsidRDefault="005B271E" w:rsidP="005D5696">
            <w:pPr>
              <w:jc w:val="center"/>
              <w:rPr>
                <w:lang w:val="fr-BE" w:eastAsia="fr-FR" w:bidi="fr-FR"/>
              </w:rPr>
            </w:pPr>
            <w:r w:rsidRPr="00B608F3">
              <w:rPr>
                <w:lang w:val="fr-BE"/>
              </w:rPr>
              <w:t>2</w:t>
            </w:r>
          </w:p>
        </w:tc>
        <w:tc>
          <w:tcPr>
            <w:tcW w:w="2157" w:type="dxa"/>
          </w:tcPr>
          <w:p w14:paraId="442D5C6D" w14:textId="77777777" w:rsidR="005B271E" w:rsidRPr="00B608F3" w:rsidRDefault="005B271E" w:rsidP="005D5696">
            <w:pPr>
              <w:jc w:val="center"/>
              <w:rPr>
                <w:lang w:val="fr-BE" w:eastAsia="fr-FR" w:bidi="fr-FR"/>
              </w:rPr>
            </w:pPr>
            <w:r w:rsidRPr="00B608F3">
              <w:rPr>
                <w:lang w:val="fr-BE"/>
              </w:rPr>
              <w:t>insuffisant</w:t>
            </w:r>
          </w:p>
        </w:tc>
      </w:tr>
      <w:tr w:rsidR="005B271E" w14:paraId="60B9A73A" w14:textId="77777777" w:rsidTr="005B271E">
        <w:tc>
          <w:tcPr>
            <w:tcW w:w="5778" w:type="dxa"/>
            <w:vMerge/>
            <w:tcBorders>
              <w:left w:val="nil"/>
              <w:bottom w:val="nil"/>
            </w:tcBorders>
          </w:tcPr>
          <w:p w14:paraId="717A5205" w14:textId="77777777" w:rsidR="005B271E" w:rsidRDefault="005B271E" w:rsidP="00B608F3">
            <w:pPr>
              <w:rPr>
                <w:b/>
                <w:lang w:val="fr-BE"/>
              </w:rPr>
            </w:pPr>
          </w:p>
        </w:tc>
        <w:tc>
          <w:tcPr>
            <w:tcW w:w="1843" w:type="dxa"/>
          </w:tcPr>
          <w:p w14:paraId="7CA99122" w14:textId="77777777" w:rsidR="005B271E" w:rsidRPr="00B608F3" w:rsidRDefault="005B271E" w:rsidP="005D5696">
            <w:pPr>
              <w:jc w:val="center"/>
              <w:rPr>
                <w:lang w:val="fr-BE" w:eastAsia="fr-FR" w:bidi="fr-FR"/>
              </w:rPr>
            </w:pPr>
            <w:r w:rsidRPr="00B608F3">
              <w:rPr>
                <w:lang w:val="fr-BE"/>
              </w:rPr>
              <w:t>3</w:t>
            </w:r>
          </w:p>
        </w:tc>
        <w:tc>
          <w:tcPr>
            <w:tcW w:w="2157" w:type="dxa"/>
          </w:tcPr>
          <w:p w14:paraId="1031C75B" w14:textId="77777777" w:rsidR="005B271E" w:rsidRPr="00B608F3" w:rsidRDefault="005B271E" w:rsidP="005D5696">
            <w:pPr>
              <w:jc w:val="center"/>
              <w:rPr>
                <w:lang w:val="fr-BE" w:eastAsia="fr-FR" w:bidi="fr-FR"/>
              </w:rPr>
            </w:pPr>
            <w:r w:rsidRPr="00B608F3">
              <w:rPr>
                <w:lang w:val="fr-BE"/>
              </w:rPr>
              <w:t>satisfaisant</w:t>
            </w:r>
          </w:p>
        </w:tc>
      </w:tr>
      <w:tr w:rsidR="005B271E" w14:paraId="0D3F3E98" w14:textId="77777777" w:rsidTr="005B271E">
        <w:tc>
          <w:tcPr>
            <w:tcW w:w="5778" w:type="dxa"/>
            <w:vMerge/>
            <w:tcBorders>
              <w:left w:val="nil"/>
              <w:bottom w:val="nil"/>
            </w:tcBorders>
          </w:tcPr>
          <w:p w14:paraId="4D514C9D" w14:textId="77777777" w:rsidR="005B271E" w:rsidRDefault="005B271E" w:rsidP="00B608F3">
            <w:pPr>
              <w:rPr>
                <w:b/>
                <w:lang w:val="fr-BE"/>
              </w:rPr>
            </w:pPr>
          </w:p>
        </w:tc>
        <w:tc>
          <w:tcPr>
            <w:tcW w:w="1843" w:type="dxa"/>
          </w:tcPr>
          <w:p w14:paraId="42F4F621" w14:textId="77777777" w:rsidR="005B271E" w:rsidRPr="00B608F3" w:rsidRDefault="005B271E" w:rsidP="005D5696">
            <w:pPr>
              <w:jc w:val="center"/>
              <w:rPr>
                <w:lang w:val="fr-BE" w:eastAsia="fr-FR" w:bidi="fr-FR"/>
              </w:rPr>
            </w:pPr>
            <w:r w:rsidRPr="00B608F3">
              <w:rPr>
                <w:lang w:val="fr-BE"/>
              </w:rPr>
              <w:t>4</w:t>
            </w:r>
          </w:p>
        </w:tc>
        <w:tc>
          <w:tcPr>
            <w:tcW w:w="2157" w:type="dxa"/>
          </w:tcPr>
          <w:p w14:paraId="4A933AB0" w14:textId="77777777" w:rsidR="005B271E" w:rsidRPr="00B608F3" w:rsidRDefault="005B271E" w:rsidP="005D5696">
            <w:pPr>
              <w:jc w:val="center"/>
              <w:rPr>
                <w:lang w:val="fr-BE" w:eastAsia="fr-FR" w:bidi="fr-FR"/>
              </w:rPr>
            </w:pPr>
            <w:r w:rsidRPr="00B608F3">
              <w:rPr>
                <w:lang w:val="fr-BE"/>
              </w:rPr>
              <w:t>bon</w:t>
            </w:r>
          </w:p>
        </w:tc>
      </w:tr>
      <w:tr w:rsidR="005B271E" w14:paraId="5E4A2C38" w14:textId="77777777" w:rsidTr="005B271E">
        <w:tc>
          <w:tcPr>
            <w:tcW w:w="5778" w:type="dxa"/>
            <w:vMerge/>
            <w:tcBorders>
              <w:left w:val="nil"/>
              <w:bottom w:val="nil"/>
            </w:tcBorders>
          </w:tcPr>
          <w:p w14:paraId="4E50F9BA" w14:textId="77777777" w:rsidR="005B271E" w:rsidRDefault="005B271E" w:rsidP="00B608F3">
            <w:pPr>
              <w:rPr>
                <w:b/>
                <w:lang w:val="fr-BE"/>
              </w:rPr>
            </w:pPr>
          </w:p>
        </w:tc>
        <w:tc>
          <w:tcPr>
            <w:tcW w:w="1843" w:type="dxa"/>
          </w:tcPr>
          <w:p w14:paraId="13892A5E" w14:textId="77777777" w:rsidR="005B271E" w:rsidRPr="00B608F3" w:rsidRDefault="005B271E" w:rsidP="005D5696">
            <w:pPr>
              <w:jc w:val="center"/>
              <w:rPr>
                <w:lang w:val="fr-BE" w:eastAsia="fr-FR" w:bidi="fr-FR"/>
              </w:rPr>
            </w:pPr>
            <w:r w:rsidRPr="00B608F3">
              <w:rPr>
                <w:lang w:val="fr-BE"/>
              </w:rPr>
              <w:t>5</w:t>
            </w:r>
          </w:p>
        </w:tc>
        <w:tc>
          <w:tcPr>
            <w:tcW w:w="2157" w:type="dxa"/>
          </w:tcPr>
          <w:p w14:paraId="102B0ACE" w14:textId="77777777" w:rsidR="005B271E" w:rsidRPr="00B608F3" w:rsidRDefault="005B271E" w:rsidP="005D5696">
            <w:pPr>
              <w:jc w:val="center"/>
              <w:rPr>
                <w:lang w:val="fr-BE" w:eastAsia="fr-FR" w:bidi="fr-FR"/>
              </w:rPr>
            </w:pPr>
            <w:r w:rsidRPr="00B608F3">
              <w:rPr>
                <w:lang w:val="fr-BE"/>
              </w:rPr>
              <w:t>très bon</w:t>
            </w:r>
          </w:p>
        </w:tc>
      </w:tr>
    </w:tbl>
    <w:p w14:paraId="5E8F40B3" w14:textId="77777777" w:rsidR="005B271E" w:rsidRDefault="005B271E" w:rsidP="005B271E">
      <w:pPr>
        <w:spacing w:after="0" w:line="240" w:lineRule="auto"/>
        <w:rPr>
          <w:b/>
          <w:lang w:val="fr-B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5"/>
        <w:gridCol w:w="1419"/>
      </w:tblGrid>
      <w:tr w:rsidR="005B271E" w14:paraId="5C1A5828" w14:textId="77777777" w:rsidTr="00AC0CB2">
        <w:tc>
          <w:tcPr>
            <w:tcW w:w="8435" w:type="dxa"/>
            <w:tcBorders>
              <w:top w:val="single" w:sz="4" w:space="0" w:color="auto"/>
              <w:left w:val="single" w:sz="4" w:space="0" w:color="auto"/>
              <w:bottom w:val="single" w:sz="4" w:space="0" w:color="auto"/>
              <w:right w:val="single" w:sz="4" w:space="0" w:color="auto"/>
            </w:tcBorders>
            <w:shd w:val="pct10" w:color="auto" w:fill="FFFFFF"/>
            <w:hideMark/>
          </w:tcPr>
          <w:p w14:paraId="38B2037F" w14:textId="77777777" w:rsidR="005B271E" w:rsidRDefault="005B271E" w:rsidP="00375508">
            <w:pPr>
              <w:keepNext/>
              <w:keepLines/>
              <w:snapToGrid w:val="0"/>
              <w:spacing w:after="0" w:line="240" w:lineRule="auto"/>
              <w:rPr>
                <w:sz w:val="24"/>
                <w:szCs w:val="24"/>
                <w:lang w:val="fr-FR" w:eastAsia="fr-FR" w:bidi="fr-FR"/>
              </w:rPr>
            </w:pPr>
            <w:r w:rsidRPr="00375508">
              <w:rPr>
                <w:b/>
                <w:lang w:val="fr-BE"/>
              </w:rPr>
              <w:t>1</w:t>
            </w:r>
            <w:r w:rsidR="00375508" w:rsidRPr="00375508">
              <w:rPr>
                <w:b/>
                <w:lang w:val="fr-BE"/>
              </w:rPr>
              <w:t>.</w:t>
            </w:r>
            <w:r w:rsidRPr="00375508">
              <w:rPr>
                <w:b/>
                <w:lang w:val="fr-BE"/>
              </w:rPr>
              <w:t xml:space="preserve"> Capacité financière et opérationnelle</w:t>
            </w:r>
          </w:p>
        </w:tc>
        <w:tc>
          <w:tcPr>
            <w:tcW w:w="1419" w:type="dxa"/>
            <w:tcBorders>
              <w:top w:val="single" w:sz="4" w:space="0" w:color="auto"/>
              <w:left w:val="single" w:sz="4" w:space="0" w:color="auto"/>
              <w:bottom w:val="single" w:sz="4" w:space="0" w:color="auto"/>
              <w:right w:val="single" w:sz="4" w:space="0" w:color="auto"/>
            </w:tcBorders>
            <w:shd w:val="pct10" w:color="auto" w:fill="FFFFFF"/>
            <w:hideMark/>
          </w:tcPr>
          <w:p w14:paraId="203CEB44" w14:textId="77777777" w:rsidR="005B271E" w:rsidRPr="008545B5" w:rsidRDefault="008545B5" w:rsidP="008545B5">
            <w:pPr>
              <w:keepNext/>
              <w:keepLines/>
              <w:snapToGrid w:val="0"/>
              <w:spacing w:after="0" w:line="240" w:lineRule="auto"/>
              <w:jc w:val="right"/>
              <w:rPr>
                <w:b/>
                <w:lang w:val="fr-FR" w:eastAsia="fr-FR" w:bidi="fr-FR"/>
              </w:rPr>
            </w:pPr>
            <w:r w:rsidRPr="008545B5">
              <w:rPr>
                <w:b/>
                <w:lang w:val="fr-FR" w:eastAsia="fr-FR" w:bidi="fr-FR"/>
              </w:rPr>
              <w:t>/15</w:t>
            </w:r>
          </w:p>
        </w:tc>
      </w:tr>
      <w:tr w:rsidR="005B271E" w14:paraId="498E3459" w14:textId="77777777" w:rsidTr="00AC0CB2">
        <w:tc>
          <w:tcPr>
            <w:tcW w:w="8435" w:type="dxa"/>
            <w:tcBorders>
              <w:top w:val="single" w:sz="4" w:space="0" w:color="auto"/>
              <w:left w:val="single" w:sz="4" w:space="0" w:color="auto"/>
              <w:bottom w:val="single" w:sz="4" w:space="0" w:color="auto"/>
              <w:right w:val="single" w:sz="4" w:space="0" w:color="auto"/>
            </w:tcBorders>
            <w:hideMark/>
          </w:tcPr>
          <w:p w14:paraId="79B4E92B" w14:textId="77777777" w:rsidR="005B271E" w:rsidRDefault="005B271E" w:rsidP="0047042C">
            <w:pPr>
              <w:snapToGrid w:val="0"/>
              <w:spacing w:after="0" w:line="240" w:lineRule="auto"/>
              <w:ind w:left="426" w:hanging="426"/>
              <w:rPr>
                <w:lang w:val="fr-FR" w:eastAsia="fr-FR" w:bidi="fr-FR"/>
              </w:rPr>
            </w:pPr>
            <w:r w:rsidRPr="008319EE">
              <w:rPr>
                <w:lang w:val="fr-BE"/>
              </w:rPr>
              <w:t xml:space="preserve">1.1 Le demandeur </w:t>
            </w:r>
            <w:r w:rsidR="0047042C">
              <w:rPr>
                <w:lang w:val="fr-BE"/>
              </w:rPr>
              <w:t>a déjà mis en œuvre des projets similaires (même genre d'activités, de même ampleur)</w:t>
            </w:r>
          </w:p>
        </w:tc>
        <w:tc>
          <w:tcPr>
            <w:tcW w:w="1419" w:type="dxa"/>
            <w:tcBorders>
              <w:top w:val="single" w:sz="4" w:space="0" w:color="auto"/>
              <w:left w:val="single" w:sz="4" w:space="0" w:color="auto"/>
              <w:bottom w:val="single" w:sz="4" w:space="0" w:color="auto"/>
              <w:right w:val="single" w:sz="4" w:space="0" w:color="auto"/>
            </w:tcBorders>
            <w:hideMark/>
          </w:tcPr>
          <w:p w14:paraId="2C621361" w14:textId="77777777" w:rsidR="005B271E" w:rsidRDefault="005B271E" w:rsidP="005B271E">
            <w:pPr>
              <w:snapToGrid w:val="0"/>
              <w:spacing w:after="0" w:line="240" w:lineRule="auto"/>
              <w:jc w:val="right"/>
              <w:rPr>
                <w:lang w:val="fr-FR" w:eastAsia="fr-FR" w:bidi="fr-FR"/>
              </w:rPr>
            </w:pPr>
            <w:r w:rsidRPr="00375508">
              <w:rPr>
                <w:lang w:val="fr-BE"/>
              </w:rPr>
              <w:t>/ 5</w:t>
            </w:r>
          </w:p>
        </w:tc>
      </w:tr>
      <w:tr w:rsidR="005B271E" w14:paraId="31DD7344" w14:textId="77777777" w:rsidTr="00AC0CB2">
        <w:tc>
          <w:tcPr>
            <w:tcW w:w="8435" w:type="dxa"/>
            <w:tcBorders>
              <w:top w:val="single" w:sz="4" w:space="0" w:color="auto"/>
              <w:left w:val="single" w:sz="4" w:space="0" w:color="auto"/>
              <w:bottom w:val="single" w:sz="4" w:space="0" w:color="auto"/>
              <w:right w:val="single" w:sz="4" w:space="0" w:color="auto"/>
            </w:tcBorders>
            <w:hideMark/>
          </w:tcPr>
          <w:p w14:paraId="6F7B1870" w14:textId="77777777" w:rsidR="005B271E" w:rsidRDefault="005B271E" w:rsidP="00375508">
            <w:pPr>
              <w:snapToGrid w:val="0"/>
              <w:spacing w:after="0" w:line="240" w:lineRule="auto"/>
              <w:ind w:left="426" w:hanging="426"/>
              <w:rPr>
                <w:lang w:val="fr-FR" w:eastAsia="fr-FR" w:bidi="fr-FR"/>
              </w:rPr>
            </w:pPr>
            <w:r w:rsidRPr="008319EE">
              <w:rPr>
                <w:lang w:val="fr-BE"/>
              </w:rPr>
              <w:t xml:space="preserve">1.2 Le demandeur </w:t>
            </w:r>
            <w:r w:rsidR="00375508">
              <w:rPr>
                <w:lang w:val="fr-BE"/>
              </w:rPr>
              <w:t>a déjà géré des projets avec des budgets similaires</w:t>
            </w:r>
          </w:p>
        </w:tc>
        <w:tc>
          <w:tcPr>
            <w:tcW w:w="1419" w:type="dxa"/>
            <w:tcBorders>
              <w:top w:val="single" w:sz="4" w:space="0" w:color="auto"/>
              <w:left w:val="single" w:sz="4" w:space="0" w:color="auto"/>
              <w:bottom w:val="single" w:sz="4" w:space="0" w:color="auto"/>
              <w:right w:val="single" w:sz="4" w:space="0" w:color="auto"/>
            </w:tcBorders>
            <w:hideMark/>
          </w:tcPr>
          <w:p w14:paraId="60658648" w14:textId="77777777" w:rsidR="005B271E" w:rsidRDefault="005B271E" w:rsidP="005B271E">
            <w:pPr>
              <w:snapToGrid w:val="0"/>
              <w:spacing w:after="0" w:line="240" w:lineRule="auto"/>
              <w:jc w:val="right"/>
              <w:rPr>
                <w:lang w:val="fr-FR" w:eastAsia="fr-FR" w:bidi="fr-FR"/>
              </w:rPr>
            </w:pPr>
            <w:r>
              <w:t>/ 5</w:t>
            </w:r>
          </w:p>
        </w:tc>
      </w:tr>
      <w:tr w:rsidR="005B271E" w14:paraId="7917279B" w14:textId="77777777" w:rsidTr="00AC0CB2">
        <w:tc>
          <w:tcPr>
            <w:tcW w:w="8435" w:type="dxa"/>
            <w:tcBorders>
              <w:top w:val="single" w:sz="4" w:space="0" w:color="auto"/>
              <w:left w:val="single" w:sz="4" w:space="0" w:color="auto"/>
              <w:bottom w:val="single" w:sz="4" w:space="0" w:color="auto"/>
              <w:right w:val="single" w:sz="4" w:space="0" w:color="auto"/>
            </w:tcBorders>
            <w:hideMark/>
          </w:tcPr>
          <w:p w14:paraId="179BBBE4" w14:textId="77777777" w:rsidR="005B271E" w:rsidRDefault="005B271E" w:rsidP="00375508">
            <w:pPr>
              <w:snapToGrid w:val="0"/>
              <w:spacing w:after="0" w:line="240" w:lineRule="auto"/>
              <w:ind w:left="426" w:hanging="426"/>
              <w:rPr>
                <w:lang w:val="fr-FR" w:eastAsia="fr-FR" w:bidi="fr-FR"/>
              </w:rPr>
            </w:pPr>
            <w:r w:rsidRPr="008319EE">
              <w:rPr>
                <w:lang w:val="fr-BE"/>
              </w:rPr>
              <w:t xml:space="preserve">1.3 </w:t>
            </w:r>
            <w:r w:rsidR="00375508">
              <w:rPr>
                <w:lang w:val="fr-BE"/>
              </w:rPr>
              <w:t>Si nécessaire, l</w:t>
            </w:r>
            <w:r w:rsidRPr="008319EE">
              <w:rPr>
                <w:lang w:val="fr-BE"/>
              </w:rPr>
              <w:t>e demandeur</w:t>
            </w:r>
            <w:r w:rsidR="00375508">
              <w:rPr>
                <w:lang w:val="fr-BE"/>
              </w:rPr>
              <w:t xml:space="preserve"> dispose des financements nécessaires pour cofinancer son projet</w:t>
            </w:r>
          </w:p>
        </w:tc>
        <w:tc>
          <w:tcPr>
            <w:tcW w:w="1419" w:type="dxa"/>
            <w:tcBorders>
              <w:top w:val="single" w:sz="4" w:space="0" w:color="auto"/>
              <w:left w:val="single" w:sz="4" w:space="0" w:color="auto"/>
              <w:bottom w:val="single" w:sz="4" w:space="0" w:color="auto"/>
              <w:right w:val="single" w:sz="4" w:space="0" w:color="auto"/>
            </w:tcBorders>
            <w:hideMark/>
          </w:tcPr>
          <w:p w14:paraId="4C83D88B" w14:textId="77777777" w:rsidR="005B271E" w:rsidRDefault="005B271E" w:rsidP="005B271E">
            <w:pPr>
              <w:snapToGrid w:val="0"/>
              <w:spacing w:after="0" w:line="240" w:lineRule="auto"/>
              <w:jc w:val="right"/>
              <w:rPr>
                <w:lang w:val="fr-FR" w:eastAsia="fr-FR" w:bidi="fr-FR"/>
              </w:rPr>
            </w:pPr>
            <w:r>
              <w:t>/ 5</w:t>
            </w:r>
          </w:p>
        </w:tc>
      </w:tr>
      <w:tr w:rsidR="00375508" w14:paraId="228A5E9A" w14:textId="77777777" w:rsidTr="00AC0CB2">
        <w:tc>
          <w:tcPr>
            <w:tcW w:w="8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760B8" w14:textId="77777777" w:rsidR="00375508" w:rsidRPr="00375508" w:rsidRDefault="00375508" w:rsidP="00375508">
            <w:pPr>
              <w:snapToGrid w:val="0"/>
              <w:spacing w:after="0" w:line="240" w:lineRule="auto"/>
              <w:rPr>
                <w:b/>
                <w:lang w:val="fr-BE"/>
              </w:rPr>
            </w:pPr>
            <w:r>
              <w:rPr>
                <w:b/>
                <w:lang w:val="fr-BE"/>
              </w:rPr>
              <w:t>2. Pertinence de l'action (cette note est multipliée par 2 de par son importance)</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C9E" w14:textId="77777777" w:rsidR="00375508" w:rsidRPr="00375508" w:rsidRDefault="008545B5" w:rsidP="00375508">
            <w:pPr>
              <w:snapToGrid w:val="0"/>
              <w:spacing w:after="0" w:line="240" w:lineRule="auto"/>
              <w:jc w:val="right"/>
              <w:rPr>
                <w:lang w:val="fr-BE"/>
              </w:rPr>
            </w:pPr>
            <w:r w:rsidRPr="00475A64">
              <w:rPr>
                <w:b/>
                <w:lang w:val="fr-BE"/>
              </w:rPr>
              <w:t xml:space="preserve">/20   =&gt; </w:t>
            </w:r>
            <w:r w:rsidR="00AC0CB2">
              <w:rPr>
                <w:b/>
                <w:lang w:val="fr-BE"/>
              </w:rPr>
              <w:t xml:space="preserve"> </w:t>
            </w:r>
            <w:r w:rsidRPr="00475A64">
              <w:rPr>
                <w:b/>
                <w:lang w:val="fr-BE"/>
              </w:rPr>
              <w:t>/40</w:t>
            </w:r>
          </w:p>
        </w:tc>
      </w:tr>
      <w:tr w:rsidR="00375508" w14:paraId="73EB40A3" w14:textId="77777777" w:rsidTr="00AC0CB2">
        <w:tc>
          <w:tcPr>
            <w:tcW w:w="8435" w:type="dxa"/>
            <w:tcBorders>
              <w:top w:val="single" w:sz="4" w:space="0" w:color="auto"/>
              <w:left w:val="single" w:sz="4" w:space="0" w:color="auto"/>
              <w:bottom w:val="single" w:sz="4" w:space="0" w:color="auto"/>
              <w:right w:val="single" w:sz="4" w:space="0" w:color="auto"/>
            </w:tcBorders>
          </w:tcPr>
          <w:p w14:paraId="315BEC13" w14:textId="77777777" w:rsidR="00375508" w:rsidRPr="00375508" w:rsidRDefault="00375508" w:rsidP="00375508">
            <w:pPr>
              <w:snapToGrid w:val="0"/>
              <w:spacing w:after="0" w:line="240" w:lineRule="auto"/>
              <w:rPr>
                <w:lang w:val="fr-BE"/>
              </w:rPr>
            </w:pPr>
            <w:r w:rsidRPr="00375508">
              <w:rPr>
                <w:lang w:val="fr-BE"/>
              </w:rPr>
              <w:t>2.1. Pertinence par rapport aux objectif</w:t>
            </w:r>
            <w:r>
              <w:rPr>
                <w:lang w:val="fr-BE"/>
              </w:rPr>
              <w:t>s</w:t>
            </w:r>
            <w:r w:rsidRPr="00375508">
              <w:rPr>
                <w:lang w:val="fr-BE"/>
              </w:rPr>
              <w:t xml:space="preserve"> de l'appel?</w:t>
            </w:r>
            <w:r>
              <w:rPr>
                <w:lang w:val="fr-BE"/>
              </w:rPr>
              <w:t xml:space="preserve"> (Score compte double)</w:t>
            </w:r>
          </w:p>
        </w:tc>
        <w:tc>
          <w:tcPr>
            <w:tcW w:w="1419" w:type="dxa"/>
            <w:tcBorders>
              <w:top w:val="single" w:sz="4" w:space="0" w:color="auto"/>
              <w:left w:val="single" w:sz="4" w:space="0" w:color="auto"/>
              <w:bottom w:val="single" w:sz="4" w:space="0" w:color="auto"/>
              <w:right w:val="single" w:sz="4" w:space="0" w:color="auto"/>
            </w:tcBorders>
          </w:tcPr>
          <w:p w14:paraId="2E7C5C3C" w14:textId="77777777" w:rsidR="00375508" w:rsidRPr="00375508" w:rsidRDefault="00375508" w:rsidP="00375508">
            <w:pPr>
              <w:snapToGrid w:val="0"/>
              <w:spacing w:after="0" w:line="240" w:lineRule="auto"/>
              <w:jc w:val="right"/>
              <w:rPr>
                <w:lang w:val="fr-BE"/>
              </w:rPr>
            </w:pPr>
            <w:r w:rsidRPr="00375508">
              <w:rPr>
                <w:lang w:val="fr-BE"/>
              </w:rPr>
              <w:t>/</w:t>
            </w:r>
            <w:r>
              <w:rPr>
                <w:lang w:val="fr-BE"/>
              </w:rPr>
              <w:t>5</w:t>
            </w:r>
          </w:p>
        </w:tc>
      </w:tr>
      <w:tr w:rsidR="00375508" w14:paraId="460F1D6A" w14:textId="77777777" w:rsidTr="00AC0CB2">
        <w:tc>
          <w:tcPr>
            <w:tcW w:w="8435" w:type="dxa"/>
            <w:tcBorders>
              <w:top w:val="single" w:sz="4" w:space="0" w:color="auto"/>
              <w:left w:val="single" w:sz="4" w:space="0" w:color="auto"/>
              <w:bottom w:val="single" w:sz="4" w:space="0" w:color="auto"/>
              <w:right w:val="single" w:sz="4" w:space="0" w:color="auto"/>
            </w:tcBorders>
          </w:tcPr>
          <w:p w14:paraId="231B9B10" w14:textId="77777777" w:rsidR="00375508" w:rsidRPr="00375508" w:rsidRDefault="00375508" w:rsidP="00375508">
            <w:pPr>
              <w:snapToGrid w:val="0"/>
              <w:spacing w:after="0" w:line="240" w:lineRule="auto"/>
              <w:rPr>
                <w:lang w:val="fr-BE"/>
              </w:rPr>
            </w:pPr>
            <w:r>
              <w:rPr>
                <w:lang w:val="fr-BE"/>
              </w:rPr>
              <w:t>2.2. Pertinence par rapport au contexte du Mali</w:t>
            </w:r>
          </w:p>
        </w:tc>
        <w:tc>
          <w:tcPr>
            <w:tcW w:w="1419" w:type="dxa"/>
            <w:tcBorders>
              <w:top w:val="single" w:sz="4" w:space="0" w:color="auto"/>
              <w:left w:val="single" w:sz="4" w:space="0" w:color="auto"/>
              <w:bottom w:val="single" w:sz="4" w:space="0" w:color="auto"/>
              <w:right w:val="single" w:sz="4" w:space="0" w:color="auto"/>
            </w:tcBorders>
          </w:tcPr>
          <w:p w14:paraId="75187360" w14:textId="77777777" w:rsidR="00375508" w:rsidRPr="00375508" w:rsidRDefault="00375508" w:rsidP="00375508">
            <w:pPr>
              <w:snapToGrid w:val="0"/>
              <w:spacing w:after="0" w:line="240" w:lineRule="auto"/>
              <w:jc w:val="right"/>
              <w:rPr>
                <w:lang w:val="fr-BE"/>
              </w:rPr>
            </w:pPr>
            <w:r>
              <w:rPr>
                <w:lang w:val="fr-BE"/>
              </w:rPr>
              <w:t>/5</w:t>
            </w:r>
          </w:p>
        </w:tc>
      </w:tr>
      <w:tr w:rsidR="00375508" w:rsidRPr="00375508" w14:paraId="5B008F81" w14:textId="77777777" w:rsidTr="00AC0CB2">
        <w:tc>
          <w:tcPr>
            <w:tcW w:w="8435" w:type="dxa"/>
            <w:tcBorders>
              <w:top w:val="single" w:sz="4" w:space="0" w:color="auto"/>
              <w:left w:val="single" w:sz="4" w:space="0" w:color="auto"/>
              <w:bottom w:val="single" w:sz="4" w:space="0" w:color="auto"/>
              <w:right w:val="single" w:sz="4" w:space="0" w:color="auto"/>
            </w:tcBorders>
          </w:tcPr>
          <w:p w14:paraId="4CE848F1" w14:textId="77777777" w:rsidR="00375508" w:rsidRPr="00375508" w:rsidRDefault="00375508" w:rsidP="00375508">
            <w:pPr>
              <w:snapToGrid w:val="0"/>
              <w:spacing w:after="0" w:line="240" w:lineRule="auto"/>
              <w:rPr>
                <w:lang w:val="fr-BE"/>
              </w:rPr>
            </w:pPr>
            <w:r w:rsidRPr="00375508">
              <w:rPr>
                <w:lang w:val="fr-BE"/>
              </w:rPr>
              <w:t>2.3. Pertinence du public ciblé</w:t>
            </w:r>
          </w:p>
        </w:tc>
        <w:tc>
          <w:tcPr>
            <w:tcW w:w="1419" w:type="dxa"/>
            <w:tcBorders>
              <w:top w:val="single" w:sz="4" w:space="0" w:color="auto"/>
              <w:left w:val="single" w:sz="4" w:space="0" w:color="auto"/>
              <w:bottom w:val="single" w:sz="4" w:space="0" w:color="auto"/>
              <w:right w:val="single" w:sz="4" w:space="0" w:color="auto"/>
            </w:tcBorders>
          </w:tcPr>
          <w:p w14:paraId="064332CD" w14:textId="77777777" w:rsidR="00375508" w:rsidRPr="00375508" w:rsidRDefault="00375508" w:rsidP="00375508">
            <w:pPr>
              <w:snapToGrid w:val="0"/>
              <w:spacing w:after="0" w:line="240" w:lineRule="auto"/>
              <w:jc w:val="right"/>
              <w:rPr>
                <w:lang w:val="fr-BE"/>
              </w:rPr>
            </w:pPr>
            <w:r>
              <w:rPr>
                <w:lang w:val="fr-BE"/>
              </w:rPr>
              <w:t>/5</w:t>
            </w:r>
          </w:p>
        </w:tc>
      </w:tr>
      <w:tr w:rsidR="00375508" w:rsidRPr="00375508" w14:paraId="71FC0FE8" w14:textId="77777777" w:rsidTr="00AC0CB2">
        <w:tc>
          <w:tcPr>
            <w:tcW w:w="8435" w:type="dxa"/>
            <w:tcBorders>
              <w:top w:val="single" w:sz="4" w:space="0" w:color="auto"/>
              <w:left w:val="single" w:sz="4" w:space="0" w:color="auto"/>
              <w:bottom w:val="single" w:sz="4" w:space="0" w:color="auto"/>
              <w:right w:val="single" w:sz="4" w:space="0" w:color="auto"/>
            </w:tcBorders>
          </w:tcPr>
          <w:p w14:paraId="3F8E2812" w14:textId="77777777" w:rsidR="00375508" w:rsidRPr="00375508" w:rsidRDefault="00375508" w:rsidP="00375508">
            <w:pPr>
              <w:snapToGrid w:val="0"/>
              <w:spacing w:after="0" w:line="240" w:lineRule="auto"/>
              <w:rPr>
                <w:lang w:val="fr-BE"/>
              </w:rPr>
            </w:pPr>
            <w:r>
              <w:rPr>
                <w:lang w:val="fr-BE"/>
              </w:rPr>
              <w:t>2.4. Valeur ajoutée / originalité</w:t>
            </w:r>
          </w:p>
        </w:tc>
        <w:tc>
          <w:tcPr>
            <w:tcW w:w="1419" w:type="dxa"/>
            <w:tcBorders>
              <w:top w:val="single" w:sz="4" w:space="0" w:color="auto"/>
              <w:left w:val="single" w:sz="4" w:space="0" w:color="auto"/>
              <w:bottom w:val="single" w:sz="4" w:space="0" w:color="auto"/>
              <w:right w:val="single" w:sz="4" w:space="0" w:color="auto"/>
            </w:tcBorders>
          </w:tcPr>
          <w:p w14:paraId="4BA41D12" w14:textId="77777777" w:rsidR="00375508" w:rsidRPr="00375508" w:rsidRDefault="00375508" w:rsidP="00375508">
            <w:pPr>
              <w:snapToGrid w:val="0"/>
              <w:spacing w:after="0" w:line="240" w:lineRule="auto"/>
              <w:jc w:val="right"/>
              <w:rPr>
                <w:lang w:val="fr-BE"/>
              </w:rPr>
            </w:pPr>
            <w:r>
              <w:rPr>
                <w:lang w:val="fr-BE"/>
              </w:rPr>
              <w:t>/5</w:t>
            </w:r>
          </w:p>
        </w:tc>
      </w:tr>
      <w:tr w:rsidR="00375508" w:rsidRPr="00475A64" w14:paraId="3B006FA4" w14:textId="77777777" w:rsidTr="00AC0CB2">
        <w:tc>
          <w:tcPr>
            <w:tcW w:w="8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B2559" w14:textId="77777777" w:rsidR="00375508" w:rsidRPr="00475A64" w:rsidRDefault="00475A64" w:rsidP="00375508">
            <w:pPr>
              <w:snapToGrid w:val="0"/>
              <w:spacing w:after="0" w:line="240" w:lineRule="auto"/>
              <w:rPr>
                <w:b/>
                <w:lang w:val="fr-BE"/>
              </w:rPr>
            </w:pPr>
            <w:r w:rsidRPr="00475A64">
              <w:rPr>
                <w:b/>
                <w:lang w:val="fr-BE"/>
              </w:rPr>
              <w:t xml:space="preserve">3. Conception </w:t>
            </w:r>
            <w:r>
              <w:rPr>
                <w:b/>
                <w:lang w:val="fr-BE"/>
              </w:rPr>
              <w:t xml:space="preserve">et mise en œuvre </w:t>
            </w:r>
            <w:r w:rsidRPr="00475A64">
              <w:rPr>
                <w:b/>
                <w:lang w:val="fr-BE"/>
              </w:rPr>
              <w:t>de l'action</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4C117" w14:textId="77777777" w:rsidR="00375508" w:rsidRPr="00475A64" w:rsidRDefault="008545B5" w:rsidP="008545B5">
            <w:pPr>
              <w:snapToGrid w:val="0"/>
              <w:spacing w:after="0" w:line="240" w:lineRule="auto"/>
              <w:jc w:val="right"/>
              <w:rPr>
                <w:b/>
                <w:lang w:val="fr-BE"/>
              </w:rPr>
            </w:pPr>
            <w:r>
              <w:rPr>
                <w:b/>
                <w:lang w:val="fr-BE"/>
              </w:rPr>
              <w:t>/15</w:t>
            </w:r>
          </w:p>
        </w:tc>
      </w:tr>
      <w:tr w:rsidR="00375508" w:rsidRPr="00375508" w14:paraId="77374B03" w14:textId="77777777" w:rsidTr="00AC0CB2">
        <w:tc>
          <w:tcPr>
            <w:tcW w:w="8435" w:type="dxa"/>
            <w:tcBorders>
              <w:top w:val="single" w:sz="4" w:space="0" w:color="auto"/>
              <w:left w:val="single" w:sz="4" w:space="0" w:color="auto"/>
              <w:bottom w:val="single" w:sz="4" w:space="0" w:color="auto"/>
              <w:right w:val="single" w:sz="4" w:space="0" w:color="auto"/>
            </w:tcBorders>
          </w:tcPr>
          <w:p w14:paraId="1AC7A9B7" w14:textId="77777777" w:rsidR="00375508" w:rsidRPr="00375508" w:rsidRDefault="00475A64" w:rsidP="00475A64">
            <w:pPr>
              <w:snapToGrid w:val="0"/>
              <w:spacing w:after="0" w:line="240" w:lineRule="auto"/>
              <w:rPr>
                <w:lang w:val="fr-BE"/>
              </w:rPr>
            </w:pPr>
            <w:r>
              <w:rPr>
                <w:lang w:val="fr-BE"/>
              </w:rPr>
              <w:t>3.1. Clarté et cohérence des indicateurs de résultat et d'impact</w:t>
            </w:r>
          </w:p>
        </w:tc>
        <w:tc>
          <w:tcPr>
            <w:tcW w:w="1419" w:type="dxa"/>
            <w:tcBorders>
              <w:top w:val="single" w:sz="4" w:space="0" w:color="auto"/>
              <w:left w:val="single" w:sz="4" w:space="0" w:color="auto"/>
              <w:bottom w:val="single" w:sz="4" w:space="0" w:color="auto"/>
              <w:right w:val="single" w:sz="4" w:space="0" w:color="auto"/>
            </w:tcBorders>
          </w:tcPr>
          <w:p w14:paraId="78C6A1BA" w14:textId="77777777" w:rsidR="00375508" w:rsidRPr="00375508" w:rsidRDefault="00475A64" w:rsidP="00375508">
            <w:pPr>
              <w:snapToGrid w:val="0"/>
              <w:spacing w:after="0" w:line="240" w:lineRule="auto"/>
              <w:jc w:val="right"/>
              <w:rPr>
                <w:lang w:val="fr-BE"/>
              </w:rPr>
            </w:pPr>
            <w:r>
              <w:rPr>
                <w:lang w:val="fr-BE"/>
              </w:rPr>
              <w:t>/5</w:t>
            </w:r>
          </w:p>
        </w:tc>
      </w:tr>
      <w:tr w:rsidR="00375508" w:rsidRPr="00375508" w14:paraId="78D82F0F" w14:textId="77777777" w:rsidTr="00AC0CB2">
        <w:tc>
          <w:tcPr>
            <w:tcW w:w="8435" w:type="dxa"/>
            <w:tcBorders>
              <w:top w:val="single" w:sz="4" w:space="0" w:color="auto"/>
              <w:left w:val="single" w:sz="4" w:space="0" w:color="auto"/>
              <w:bottom w:val="single" w:sz="4" w:space="0" w:color="auto"/>
              <w:right w:val="single" w:sz="4" w:space="0" w:color="auto"/>
            </w:tcBorders>
          </w:tcPr>
          <w:p w14:paraId="1F45A867" w14:textId="77777777" w:rsidR="00375508" w:rsidRPr="00375508" w:rsidRDefault="00475A64" w:rsidP="00475A64">
            <w:pPr>
              <w:snapToGrid w:val="0"/>
              <w:spacing w:after="0" w:line="240" w:lineRule="auto"/>
              <w:rPr>
                <w:lang w:val="fr-BE"/>
              </w:rPr>
            </w:pPr>
            <w:r>
              <w:rPr>
                <w:lang w:val="fr-BE"/>
              </w:rPr>
              <w:t>3.2. Analyse des parties prenantes</w:t>
            </w:r>
          </w:p>
        </w:tc>
        <w:tc>
          <w:tcPr>
            <w:tcW w:w="1419" w:type="dxa"/>
            <w:tcBorders>
              <w:top w:val="single" w:sz="4" w:space="0" w:color="auto"/>
              <w:left w:val="single" w:sz="4" w:space="0" w:color="auto"/>
              <w:bottom w:val="single" w:sz="4" w:space="0" w:color="auto"/>
              <w:right w:val="single" w:sz="4" w:space="0" w:color="auto"/>
            </w:tcBorders>
          </w:tcPr>
          <w:p w14:paraId="4E5A4A10" w14:textId="77777777" w:rsidR="00375508" w:rsidRPr="00375508" w:rsidRDefault="00475A64" w:rsidP="00375508">
            <w:pPr>
              <w:snapToGrid w:val="0"/>
              <w:spacing w:after="0" w:line="240" w:lineRule="auto"/>
              <w:jc w:val="right"/>
              <w:rPr>
                <w:lang w:val="fr-BE"/>
              </w:rPr>
            </w:pPr>
            <w:r>
              <w:rPr>
                <w:lang w:val="fr-BE"/>
              </w:rPr>
              <w:t>/5</w:t>
            </w:r>
          </w:p>
        </w:tc>
      </w:tr>
      <w:tr w:rsidR="00375508" w:rsidRPr="00375508" w14:paraId="6BB45006" w14:textId="77777777" w:rsidTr="00AC0CB2">
        <w:tc>
          <w:tcPr>
            <w:tcW w:w="8435" w:type="dxa"/>
            <w:tcBorders>
              <w:top w:val="single" w:sz="4" w:space="0" w:color="auto"/>
              <w:left w:val="single" w:sz="4" w:space="0" w:color="auto"/>
              <w:bottom w:val="single" w:sz="4" w:space="0" w:color="auto"/>
              <w:right w:val="single" w:sz="4" w:space="0" w:color="auto"/>
            </w:tcBorders>
          </w:tcPr>
          <w:p w14:paraId="18925E31" w14:textId="77777777" w:rsidR="00375508" w:rsidRPr="00375508" w:rsidRDefault="00475A64" w:rsidP="00475A64">
            <w:pPr>
              <w:snapToGrid w:val="0"/>
              <w:spacing w:after="0" w:line="240" w:lineRule="auto"/>
              <w:rPr>
                <w:lang w:val="fr-BE"/>
              </w:rPr>
            </w:pPr>
            <w:r>
              <w:rPr>
                <w:lang w:val="fr-BE"/>
              </w:rPr>
              <w:t xml:space="preserve">3.3. Le </w:t>
            </w:r>
            <w:r w:rsidR="008545B5">
              <w:rPr>
                <w:lang w:val="fr-BE"/>
              </w:rPr>
              <w:t>calendrier est réaliste</w:t>
            </w:r>
          </w:p>
        </w:tc>
        <w:tc>
          <w:tcPr>
            <w:tcW w:w="1419" w:type="dxa"/>
            <w:tcBorders>
              <w:top w:val="single" w:sz="4" w:space="0" w:color="auto"/>
              <w:left w:val="single" w:sz="4" w:space="0" w:color="auto"/>
              <w:bottom w:val="single" w:sz="4" w:space="0" w:color="auto"/>
              <w:right w:val="single" w:sz="4" w:space="0" w:color="auto"/>
            </w:tcBorders>
          </w:tcPr>
          <w:p w14:paraId="42344E80" w14:textId="77777777" w:rsidR="00375508" w:rsidRPr="00375508" w:rsidRDefault="008545B5" w:rsidP="00375508">
            <w:pPr>
              <w:snapToGrid w:val="0"/>
              <w:spacing w:after="0" w:line="240" w:lineRule="auto"/>
              <w:jc w:val="right"/>
              <w:rPr>
                <w:lang w:val="fr-BE"/>
              </w:rPr>
            </w:pPr>
            <w:r>
              <w:rPr>
                <w:lang w:val="fr-BE"/>
              </w:rPr>
              <w:t>/5</w:t>
            </w:r>
          </w:p>
        </w:tc>
      </w:tr>
      <w:tr w:rsidR="008545B5" w:rsidRPr="008545B5" w14:paraId="3A2F1484" w14:textId="77777777" w:rsidTr="00AC0CB2">
        <w:tc>
          <w:tcPr>
            <w:tcW w:w="8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EF9FA" w14:textId="77777777" w:rsidR="008545B5" w:rsidRPr="008545B5" w:rsidRDefault="008545B5" w:rsidP="00475A64">
            <w:pPr>
              <w:snapToGrid w:val="0"/>
              <w:spacing w:after="0" w:line="240" w:lineRule="auto"/>
              <w:rPr>
                <w:b/>
                <w:lang w:val="fr-BE"/>
              </w:rPr>
            </w:pPr>
            <w:r w:rsidRPr="008545B5">
              <w:rPr>
                <w:b/>
                <w:lang w:val="fr-BE"/>
              </w:rPr>
              <w:t>4. Durabilité de l'action</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8D924" w14:textId="77777777" w:rsidR="008545B5" w:rsidRPr="008545B5" w:rsidRDefault="008545B5" w:rsidP="00622B70">
            <w:pPr>
              <w:snapToGrid w:val="0"/>
              <w:spacing w:after="0" w:line="240" w:lineRule="auto"/>
              <w:jc w:val="right"/>
              <w:rPr>
                <w:b/>
                <w:lang w:val="fr-BE"/>
              </w:rPr>
            </w:pPr>
            <w:r>
              <w:rPr>
                <w:b/>
                <w:lang w:val="fr-BE"/>
              </w:rPr>
              <w:t>/1</w:t>
            </w:r>
            <w:r w:rsidR="00622B70">
              <w:rPr>
                <w:b/>
                <w:lang w:val="fr-BE"/>
              </w:rPr>
              <w:t>0</w:t>
            </w:r>
          </w:p>
        </w:tc>
      </w:tr>
      <w:tr w:rsidR="008545B5" w:rsidRPr="00375508" w14:paraId="49BBB8D0" w14:textId="77777777" w:rsidTr="00AC0CB2">
        <w:tc>
          <w:tcPr>
            <w:tcW w:w="8435" w:type="dxa"/>
            <w:tcBorders>
              <w:top w:val="single" w:sz="4" w:space="0" w:color="auto"/>
              <w:left w:val="single" w:sz="4" w:space="0" w:color="auto"/>
              <w:bottom w:val="single" w:sz="4" w:space="0" w:color="auto"/>
              <w:right w:val="single" w:sz="4" w:space="0" w:color="auto"/>
            </w:tcBorders>
          </w:tcPr>
          <w:p w14:paraId="3B32EF02" w14:textId="77777777" w:rsidR="008545B5" w:rsidRDefault="008545B5" w:rsidP="00475A64">
            <w:pPr>
              <w:snapToGrid w:val="0"/>
              <w:spacing w:after="0" w:line="240" w:lineRule="auto"/>
              <w:rPr>
                <w:lang w:val="fr-BE"/>
              </w:rPr>
            </w:pPr>
            <w:r>
              <w:rPr>
                <w:lang w:val="fr-BE"/>
              </w:rPr>
              <w:t>4.1. L'action peut avoir des effets multiplicateurs</w:t>
            </w:r>
          </w:p>
        </w:tc>
        <w:tc>
          <w:tcPr>
            <w:tcW w:w="1419" w:type="dxa"/>
            <w:tcBorders>
              <w:top w:val="single" w:sz="4" w:space="0" w:color="auto"/>
              <w:left w:val="single" w:sz="4" w:space="0" w:color="auto"/>
              <w:bottom w:val="single" w:sz="4" w:space="0" w:color="auto"/>
              <w:right w:val="single" w:sz="4" w:space="0" w:color="auto"/>
            </w:tcBorders>
          </w:tcPr>
          <w:p w14:paraId="2C07FE83" w14:textId="77777777" w:rsidR="008545B5" w:rsidRDefault="008545B5" w:rsidP="00375508">
            <w:pPr>
              <w:snapToGrid w:val="0"/>
              <w:spacing w:after="0" w:line="240" w:lineRule="auto"/>
              <w:jc w:val="right"/>
              <w:rPr>
                <w:lang w:val="fr-BE"/>
              </w:rPr>
            </w:pPr>
            <w:r>
              <w:rPr>
                <w:lang w:val="fr-BE"/>
              </w:rPr>
              <w:t>/5</w:t>
            </w:r>
          </w:p>
        </w:tc>
      </w:tr>
      <w:tr w:rsidR="008545B5" w:rsidRPr="00375508" w14:paraId="1057EB6F" w14:textId="77777777" w:rsidTr="00AC0CB2">
        <w:tc>
          <w:tcPr>
            <w:tcW w:w="8435" w:type="dxa"/>
            <w:tcBorders>
              <w:top w:val="single" w:sz="4" w:space="0" w:color="auto"/>
              <w:left w:val="single" w:sz="4" w:space="0" w:color="auto"/>
              <w:bottom w:val="single" w:sz="4" w:space="0" w:color="auto"/>
              <w:right w:val="single" w:sz="4" w:space="0" w:color="auto"/>
            </w:tcBorders>
          </w:tcPr>
          <w:p w14:paraId="41ADD981" w14:textId="77777777" w:rsidR="008545B5" w:rsidRDefault="008545B5" w:rsidP="00622B70">
            <w:pPr>
              <w:snapToGrid w:val="0"/>
              <w:spacing w:after="0" w:line="240" w:lineRule="auto"/>
              <w:rPr>
                <w:lang w:val="fr-BE"/>
              </w:rPr>
            </w:pPr>
            <w:r>
              <w:rPr>
                <w:lang w:val="fr-BE"/>
              </w:rPr>
              <w:t>4.</w:t>
            </w:r>
            <w:r w:rsidR="00622B70">
              <w:rPr>
                <w:lang w:val="fr-BE"/>
              </w:rPr>
              <w:t>2</w:t>
            </w:r>
            <w:r>
              <w:rPr>
                <w:lang w:val="fr-BE"/>
              </w:rPr>
              <w:t>. L'action aura des résultats et impacts durables</w:t>
            </w:r>
          </w:p>
        </w:tc>
        <w:tc>
          <w:tcPr>
            <w:tcW w:w="1419" w:type="dxa"/>
            <w:tcBorders>
              <w:top w:val="single" w:sz="4" w:space="0" w:color="auto"/>
              <w:left w:val="single" w:sz="4" w:space="0" w:color="auto"/>
              <w:bottom w:val="single" w:sz="4" w:space="0" w:color="auto"/>
              <w:right w:val="single" w:sz="4" w:space="0" w:color="auto"/>
            </w:tcBorders>
          </w:tcPr>
          <w:p w14:paraId="457E10D1" w14:textId="77777777" w:rsidR="008545B5" w:rsidRDefault="008545B5" w:rsidP="00375508">
            <w:pPr>
              <w:snapToGrid w:val="0"/>
              <w:spacing w:after="0" w:line="240" w:lineRule="auto"/>
              <w:jc w:val="right"/>
              <w:rPr>
                <w:lang w:val="fr-BE"/>
              </w:rPr>
            </w:pPr>
            <w:r>
              <w:rPr>
                <w:lang w:val="fr-BE"/>
              </w:rPr>
              <w:t>/5</w:t>
            </w:r>
          </w:p>
        </w:tc>
      </w:tr>
      <w:tr w:rsidR="008545B5" w:rsidRPr="008545B5" w14:paraId="4825FA3A" w14:textId="77777777" w:rsidTr="00AC0CB2">
        <w:tc>
          <w:tcPr>
            <w:tcW w:w="8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FBC12" w14:textId="77777777" w:rsidR="008545B5" w:rsidRPr="008545B5" w:rsidRDefault="008545B5" w:rsidP="00475A64">
            <w:pPr>
              <w:snapToGrid w:val="0"/>
              <w:spacing w:after="0" w:line="240" w:lineRule="auto"/>
              <w:rPr>
                <w:b/>
                <w:lang w:val="fr-BE"/>
              </w:rPr>
            </w:pPr>
            <w:r w:rsidRPr="008545B5">
              <w:rPr>
                <w:b/>
                <w:lang w:val="fr-BE"/>
              </w:rPr>
              <w:t>5. Budget</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EC199" w14:textId="77777777" w:rsidR="008545B5" w:rsidRPr="008545B5" w:rsidRDefault="00622B70" w:rsidP="008545B5">
            <w:pPr>
              <w:snapToGrid w:val="0"/>
              <w:spacing w:after="0" w:line="240" w:lineRule="auto"/>
              <w:jc w:val="right"/>
              <w:rPr>
                <w:b/>
                <w:lang w:val="fr-BE"/>
              </w:rPr>
            </w:pPr>
            <w:r>
              <w:rPr>
                <w:b/>
                <w:lang w:val="fr-BE"/>
              </w:rPr>
              <w:t>/10</w:t>
            </w:r>
          </w:p>
        </w:tc>
      </w:tr>
      <w:tr w:rsidR="008545B5" w:rsidRPr="00375508" w14:paraId="6E223CB6" w14:textId="77777777" w:rsidTr="00AC0CB2">
        <w:tc>
          <w:tcPr>
            <w:tcW w:w="8435" w:type="dxa"/>
            <w:tcBorders>
              <w:top w:val="single" w:sz="4" w:space="0" w:color="auto"/>
              <w:left w:val="single" w:sz="4" w:space="0" w:color="auto"/>
              <w:bottom w:val="single" w:sz="4" w:space="0" w:color="auto"/>
              <w:right w:val="single" w:sz="4" w:space="0" w:color="auto"/>
            </w:tcBorders>
          </w:tcPr>
          <w:p w14:paraId="73FD4F45" w14:textId="77777777" w:rsidR="008545B5" w:rsidRDefault="008545B5" w:rsidP="008545B5">
            <w:pPr>
              <w:snapToGrid w:val="0"/>
              <w:spacing w:after="0" w:line="240" w:lineRule="auto"/>
              <w:rPr>
                <w:lang w:val="fr-BE"/>
              </w:rPr>
            </w:pPr>
            <w:r>
              <w:rPr>
                <w:lang w:val="fr-BE"/>
              </w:rPr>
              <w:t>5.1. Le budget est complet, cohérent et réaliste</w:t>
            </w:r>
          </w:p>
        </w:tc>
        <w:tc>
          <w:tcPr>
            <w:tcW w:w="1419" w:type="dxa"/>
            <w:tcBorders>
              <w:top w:val="single" w:sz="4" w:space="0" w:color="auto"/>
              <w:left w:val="single" w:sz="4" w:space="0" w:color="auto"/>
              <w:bottom w:val="single" w:sz="4" w:space="0" w:color="auto"/>
              <w:right w:val="single" w:sz="4" w:space="0" w:color="auto"/>
            </w:tcBorders>
          </w:tcPr>
          <w:p w14:paraId="57D6FFDA" w14:textId="77777777" w:rsidR="008545B5" w:rsidRDefault="008545B5" w:rsidP="00375508">
            <w:pPr>
              <w:snapToGrid w:val="0"/>
              <w:spacing w:after="0" w:line="240" w:lineRule="auto"/>
              <w:jc w:val="right"/>
              <w:rPr>
                <w:lang w:val="fr-BE"/>
              </w:rPr>
            </w:pPr>
            <w:r>
              <w:rPr>
                <w:lang w:val="fr-BE"/>
              </w:rPr>
              <w:t>/5</w:t>
            </w:r>
          </w:p>
        </w:tc>
      </w:tr>
      <w:tr w:rsidR="008545B5" w:rsidRPr="00375508" w14:paraId="25D6437C" w14:textId="77777777" w:rsidTr="00AC0CB2">
        <w:tc>
          <w:tcPr>
            <w:tcW w:w="8435" w:type="dxa"/>
            <w:tcBorders>
              <w:top w:val="single" w:sz="4" w:space="0" w:color="auto"/>
              <w:left w:val="single" w:sz="4" w:space="0" w:color="auto"/>
              <w:bottom w:val="single" w:sz="4" w:space="0" w:color="auto"/>
              <w:right w:val="single" w:sz="4" w:space="0" w:color="auto"/>
            </w:tcBorders>
          </w:tcPr>
          <w:p w14:paraId="32800F40" w14:textId="77777777" w:rsidR="008545B5" w:rsidRDefault="008545B5" w:rsidP="00622B70">
            <w:pPr>
              <w:snapToGrid w:val="0"/>
              <w:spacing w:after="0" w:line="240" w:lineRule="auto"/>
              <w:rPr>
                <w:lang w:val="fr-BE"/>
              </w:rPr>
            </w:pPr>
            <w:r>
              <w:rPr>
                <w:lang w:val="fr-BE"/>
              </w:rPr>
              <w:t xml:space="preserve">5.2. Le ratio entre les coûts estimés et les résultats attendus est satisfaisant </w:t>
            </w:r>
          </w:p>
        </w:tc>
        <w:tc>
          <w:tcPr>
            <w:tcW w:w="1419" w:type="dxa"/>
            <w:tcBorders>
              <w:top w:val="single" w:sz="4" w:space="0" w:color="auto"/>
              <w:left w:val="single" w:sz="4" w:space="0" w:color="auto"/>
              <w:bottom w:val="single" w:sz="4" w:space="0" w:color="auto"/>
              <w:right w:val="single" w:sz="4" w:space="0" w:color="auto"/>
            </w:tcBorders>
          </w:tcPr>
          <w:p w14:paraId="75D5CAE9" w14:textId="77777777" w:rsidR="008545B5" w:rsidRDefault="008545B5" w:rsidP="00375508">
            <w:pPr>
              <w:snapToGrid w:val="0"/>
              <w:spacing w:after="0" w:line="240" w:lineRule="auto"/>
              <w:jc w:val="right"/>
              <w:rPr>
                <w:lang w:val="fr-BE"/>
              </w:rPr>
            </w:pPr>
            <w:r>
              <w:rPr>
                <w:lang w:val="fr-BE"/>
              </w:rPr>
              <w:t>/</w:t>
            </w:r>
            <w:r w:rsidR="00622B70">
              <w:rPr>
                <w:lang w:val="fr-BE"/>
              </w:rPr>
              <w:t>5</w:t>
            </w:r>
          </w:p>
        </w:tc>
      </w:tr>
      <w:tr w:rsidR="008545B5" w:rsidRPr="00AC0CB2" w14:paraId="428AEE46" w14:textId="77777777" w:rsidTr="00AC0CB2">
        <w:tc>
          <w:tcPr>
            <w:tcW w:w="8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7A2D2" w14:textId="77777777" w:rsidR="008545B5" w:rsidRPr="00AC0CB2" w:rsidRDefault="00AC0CB2" w:rsidP="00AC0CB2">
            <w:pPr>
              <w:snapToGrid w:val="0"/>
              <w:spacing w:after="0" w:line="240" w:lineRule="auto"/>
              <w:rPr>
                <w:b/>
                <w:lang w:val="fr-BE"/>
              </w:rPr>
            </w:pPr>
            <w:r w:rsidRPr="00AC0CB2">
              <w:rPr>
                <w:b/>
                <w:lang w:val="fr-BE"/>
              </w:rPr>
              <w:t>6</w:t>
            </w:r>
            <w:r w:rsidR="008545B5" w:rsidRPr="00AC0CB2">
              <w:rPr>
                <w:b/>
                <w:lang w:val="fr-BE"/>
              </w:rPr>
              <w:t xml:space="preserve">. </w:t>
            </w:r>
            <w:r w:rsidRPr="00AC0CB2">
              <w:rPr>
                <w:b/>
                <w:lang w:val="fr-BE"/>
              </w:rPr>
              <w:t>Impact sur l'image de l'UE au Mali (cette note compte double de par son importance)</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E23A8" w14:textId="77777777" w:rsidR="008545B5" w:rsidRPr="00AC0CB2" w:rsidRDefault="008545B5" w:rsidP="00AC0CB2">
            <w:pPr>
              <w:snapToGrid w:val="0"/>
              <w:spacing w:after="0" w:line="240" w:lineRule="auto"/>
              <w:jc w:val="right"/>
              <w:rPr>
                <w:b/>
                <w:lang w:val="fr-BE"/>
              </w:rPr>
            </w:pPr>
            <w:r w:rsidRPr="00AC0CB2">
              <w:rPr>
                <w:b/>
                <w:lang w:val="fr-BE"/>
              </w:rPr>
              <w:t>/</w:t>
            </w:r>
            <w:r w:rsidR="00AC0CB2">
              <w:rPr>
                <w:b/>
                <w:lang w:val="fr-BE"/>
              </w:rPr>
              <w:t>5 =&gt;   /</w:t>
            </w:r>
            <w:r w:rsidRPr="00AC0CB2">
              <w:rPr>
                <w:b/>
                <w:lang w:val="fr-BE"/>
              </w:rPr>
              <w:t>1</w:t>
            </w:r>
            <w:r w:rsidR="00AC0CB2">
              <w:rPr>
                <w:b/>
                <w:lang w:val="fr-BE"/>
              </w:rPr>
              <w:t>0</w:t>
            </w:r>
          </w:p>
        </w:tc>
      </w:tr>
      <w:tr w:rsidR="008545B5" w:rsidRPr="00AC0CB2" w14:paraId="3ADEF5D6" w14:textId="77777777" w:rsidTr="00AC0CB2">
        <w:tc>
          <w:tcPr>
            <w:tcW w:w="8435" w:type="dxa"/>
            <w:tcBorders>
              <w:top w:val="single" w:sz="4" w:space="0" w:color="auto"/>
              <w:left w:val="single" w:sz="4" w:space="0" w:color="auto"/>
              <w:bottom w:val="single" w:sz="4" w:space="0" w:color="auto"/>
              <w:right w:val="single" w:sz="4" w:space="0" w:color="auto"/>
            </w:tcBorders>
            <w:shd w:val="clear" w:color="auto" w:fill="262626" w:themeFill="text1" w:themeFillTint="D9"/>
          </w:tcPr>
          <w:p w14:paraId="66E3D236" w14:textId="77777777" w:rsidR="008545B5" w:rsidRPr="00AC0CB2" w:rsidRDefault="00AC0CB2" w:rsidP="00AD5302">
            <w:pPr>
              <w:snapToGrid w:val="0"/>
              <w:spacing w:after="0" w:line="240" w:lineRule="auto"/>
              <w:rPr>
                <w:b/>
                <w:lang w:val="fr-BE"/>
              </w:rPr>
            </w:pPr>
            <w:r w:rsidRPr="00AC0CB2">
              <w:rPr>
                <w:b/>
                <w:lang w:val="fr-BE"/>
              </w:rPr>
              <w:t>Gran</w:t>
            </w:r>
            <w:r w:rsidR="00AD5302">
              <w:rPr>
                <w:b/>
                <w:lang w:val="fr-BE"/>
              </w:rPr>
              <w:t>d</w:t>
            </w:r>
            <w:r w:rsidRPr="00AC0CB2">
              <w:rPr>
                <w:b/>
                <w:lang w:val="fr-BE"/>
              </w:rPr>
              <w:t xml:space="preserve"> total (rubriques 1 + 2 + 3 + 4 + 5 + 6)</w:t>
            </w:r>
          </w:p>
        </w:tc>
        <w:tc>
          <w:tcPr>
            <w:tcW w:w="1419" w:type="dxa"/>
            <w:tcBorders>
              <w:top w:val="single" w:sz="4" w:space="0" w:color="auto"/>
              <w:left w:val="single" w:sz="4" w:space="0" w:color="auto"/>
              <w:bottom w:val="single" w:sz="4" w:space="0" w:color="auto"/>
              <w:right w:val="single" w:sz="4" w:space="0" w:color="auto"/>
            </w:tcBorders>
            <w:shd w:val="clear" w:color="auto" w:fill="262626" w:themeFill="text1" w:themeFillTint="D9"/>
          </w:tcPr>
          <w:p w14:paraId="4D045934" w14:textId="77777777" w:rsidR="008545B5" w:rsidRPr="00AC0CB2" w:rsidRDefault="00AC0CB2" w:rsidP="005D5696">
            <w:pPr>
              <w:snapToGrid w:val="0"/>
              <w:spacing w:after="0" w:line="240" w:lineRule="auto"/>
              <w:jc w:val="right"/>
              <w:rPr>
                <w:b/>
                <w:lang w:val="fr-BE"/>
              </w:rPr>
            </w:pPr>
            <w:r w:rsidRPr="00AC0CB2">
              <w:rPr>
                <w:b/>
                <w:lang w:val="fr-BE"/>
              </w:rPr>
              <w:t>/100</w:t>
            </w:r>
          </w:p>
        </w:tc>
      </w:tr>
    </w:tbl>
    <w:p w14:paraId="1689D355" w14:textId="77777777" w:rsidR="005B271E" w:rsidRDefault="005B271E" w:rsidP="005B271E">
      <w:pPr>
        <w:spacing w:after="0" w:line="240" w:lineRule="auto"/>
        <w:jc w:val="both"/>
        <w:rPr>
          <w:lang w:val="fr-BE"/>
        </w:rPr>
      </w:pPr>
    </w:p>
    <w:sectPr w:rsidR="005B271E" w:rsidSect="001C7AF5">
      <w:footerReference w:type="default" r:id="rId15"/>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AF0E" w14:textId="77777777" w:rsidR="00CD17B1" w:rsidRDefault="00CD17B1" w:rsidP="005B271E">
      <w:pPr>
        <w:spacing w:after="0" w:line="240" w:lineRule="auto"/>
      </w:pPr>
      <w:r>
        <w:separator/>
      </w:r>
    </w:p>
  </w:endnote>
  <w:endnote w:type="continuationSeparator" w:id="0">
    <w:p w14:paraId="44D7A5AE" w14:textId="77777777" w:rsidR="00CD17B1" w:rsidRDefault="00CD17B1" w:rsidP="005B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6611411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210D059" w14:textId="7D6A3443" w:rsidR="005B271E" w:rsidRPr="005B271E" w:rsidRDefault="005B271E" w:rsidP="005B271E">
            <w:pPr>
              <w:pStyle w:val="Pieddepage"/>
              <w:jc w:val="right"/>
              <w:rPr>
                <w:sz w:val="16"/>
                <w:szCs w:val="16"/>
              </w:rPr>
            </w:pPr>
            <w:r w:rsidRPr="005B271E">
              <w:rPr>
                <w:sz w:val="16"/>
                <w:szCs w:val="16"/>
              </w:rPr>
              <w:t xml:space="preserve">Page </w:t>
            </w:r>
            <w:r w:rsidRPr="005B271E">
              <w:rPr>
                <w:b/>
                <w:bCs/>
                <w:sz w:val="16"/>
                <w:szCs w:val="16"/>
              </w:rPr>
              <w:fldChar w:fldCharType="begin"/>
            </w:r>
            <w:r w:rsidRPr="005B271E">
              <w:rPr>
                <w:b/>
                <w:bCs/>
                <w:sz w:val="16"/>
                <w:szCs w:val="16"/>
              </w:rPr>
              <w:instrText xml:space="preserve"> PAGE </w:instrText>
            </w:r>
            <w:r w:rsidRPr="005B271E">
              <w:rPr>
                <w:b/>
                <w:bCs/>
                <w:sz w:val="16"/>
                <w:szCs w:val="16"/>
              </w:rPr>
              <w:fldChar w:fldCharType="separate"/>
            </w:r>
            <w:r w:rsidR="001732EE">
              <w:rPr>
                <w:b/>
                <w:bCs/>
                <w:noProof/>
                <w:sz w:val="16"/>
                <w:szCs w:val="16"/>
              </w:rPr>
              <w:t>5</w:t>
            </w:r>
            <w:r w:rsidRPr="005B271E">
              <w:rPr>
                <w:b/>
                <w:bCs/>
                <w:sz w:val="16"/>
                <w:szCs w:val="16"/>
              </w:rPr>
              <w:fldChar w:fldCharType="end"/>
            </w:r>
            <w:r w:rsidRPr="005B271E">
              <w:rPr>
                <w:sz w:val="16"/>
                <w:szCs w:val="16"/>
              </w:rPr>
              <w:t xml:space="preserve"> de </w:t>
            </w:r>
            <w:r w:rsidRPr="005B271E">
              <w:rPr>
                <w:b/>
                <w:bCs/>
                <w:sz w:val="16"/>
                <w:szCs w:val="16"/>
              </w:rPr>
              <w:fldChar w:fldCharType="begin"/>
            </w:r>
            <w:r w:rsidRPr="005B271E">
              <w:rPr>
                <w:b/>
                <w:bCs/>
                <w:sz w:val="16"/>
                <w:szCs w:val="16"/>
              </w:rPr>
              <w:instrText xml:space="preserve"> NUMPAGES  </w:instrText>
            </w:r>
            <w:r w:rsidRPr="005B271E">
              <w:rPr>
                <w:b/>
                <w:bCs/>
                <w:sz w:val="16"/>
                <w:szCs w:val="16"/>
              </w:rPr>
              <w:fldChar w:fldCharType="separate"/>
            </w:r>
            <w:r w:rsidR="001732EE">
              <w:rPr>
                <w:b/>
                <w:bCs/>
                <w:noProof/>
                <w:sz w:val="16"/>
                <w:szCs w:val="16"/>
              </w:rPr>
              <w:t>5</w:t>
            </w:r>
            <w:r w:rsidRPr="005B271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2C1F9" w14:textId="77777777" w:rsidR="00CD17B1" w:rsidRDefault="00CD17B1" w:rsidP="005B271E">
      <w:pPr>
        <w:spacing w:after="0" w:line="240" w:lineRule="auto"/>
      </w:pPr>
      <w:r>
        <w:separator/>
      </w:r>
    </w:p>
  </w:footnote>
  <w:footnote w:type="continuationSeparator" w:id="0">
    <w:p w14:paraId="7E763402" w14:textId="77777777" w:rsidR="00CD17B1" w:rsidRDefault="00CD17B1" w:rsidP="005B2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5634"/>
    <w:multiLevelType w:val="hybridMultilevel"/>
    <w:tmpl w:val="D2BC21FC"/>
    <w:lvl w:ilvl="0" w:tplc="F488B5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E508C"/>
    <w:multiLevelType w:val="hybridMultilevel"/>
    <w:tmpl w:val="91B440A8"/>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0D1EDD"/>
    <w:multiLevelType w:val="multilevel"/>
    <w:tmpl w:val="6512C62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2F8E2606"/>
    <w:multiLevelType w:val="multilevel"/>
    <w:tmpl w:val="F2B6DE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36174346"/>
    <w:multiLevelType w:val="multilevel"/>
    <w:tmpl w:val="F2B6DE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664A7E43"/>
    <w:multiLevelType w:val="hybridMultilevel"/>
    <w:tmpl w:val="5F92EB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DA5F9D"/>
    <w:multiLevelType w:val="multilevel"/>
    <w:tmpl w:val="ADBEF67E"/>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E2713"/>
    <w:rsid w:val="000135D4"/>
    <w:rsid w:val="00023A9C"/>
    <w:rsid w:val="00026415"/>
    <w:rsid w:val="00052569"/>
    <w:rsid w:val="000A136D"/>
    <w:rsid w:val="000A2ED7"/>
    <w:rsid w:val="000F3C25"/>
    <w:rsid w:val="00140746"/>
    <w:rsid w:val="00142B82"/>
    <w:rsid w:val="00170CC3"/>
    <w:rsid w:val="001732EE"/>
    <w:rsid w:val="001A267F"/>
    <w:rsid w:val="001C7AF5"/>
    <w:rsid w:val="00242E06"/>
    <w:rsid w:val="002773C2"/>
    <w:rsid w:val="002B6E0B"/>
    <w:rsid w:val="002C6585"/>
    <w:rsid w:val="002D2F2D"/>
    <w:rsid w:val="002F58B2"/>
    <w:rsid w:val="003235E5"/>
    <w:rsid w:val="00355FBE"/>
    <w:rsid w:val="003626B2"/>
    <w:rsid w:val="00375508"/>
    <w:rsid w:val="003C6D08"/>
    <w:rsid w:val="004329C4"/>
    <w:rsid w:val="0047042C"/>
    <w:rsid w:val="00475A64"/>
    <w:rsid w:val="00527949"/>
    <w:rsid w:val="00533D90"/>
    <w:rsid w:val="00534E33"/>
    <w:rsid w:val="00540C73"/>
    <w:rsid w:val="005577B6"/>
    <w:rsid w:val="005703B4"/>
    <w:rsid w:val="00586C3E"/>
    <w:rsid w:val="0059083D"/>
    <w:rsid w:val="005B271E"/>
    <w:rsid w:val="005C0EAD"/>
    <w:rsid w:val="005E6B4D"/>
    <w:rsid w:val="0060292C"/>
    <w:rsid w:val="00622B70"/>
    <w:rsid w:val="006B7923"/>
    <w:rsid w:val="007036F7"/>
    <w:rsid w:val="00736522"/>
    <w:rsid w:val="00753B3B"/>
    <w:rsid w:val="00764F8B"/>
    <w:rsid w:val="0077127D"/>
    <w:rsid w:val="007D03CE"/>
    <w:rsid w:val="007F19DF"/>
    <w:rsid w:val="007F6018"/>
    <w:rsid w:val="008100B8"/>
    <w:rsid w:val="008302B2"/>
    <w:rsid w:val="008319EE"/>
    <w:rsid w:val="00833802"/>
    <w:rsid w:val="00837D35"/>
    <w:rsid w:val="008545B5"/>
    <w:rsid w:val="008B4408"/>
    <w:rsid w:val="008C74D2"/>
    <w:rsid w:val="008D4853"/>
    <w:rsid w:val="008F0E3E"/>
    <w:rsid w:val="00933463"/>
    <w:rsid w:val="00956BEC"/>
    <w:rsid w:val="009842DF"/>
    <w:rsid w:val="009E2F88"/>
    <w:rsid w:val="00AB53EF"/>
    <w:rsid w:val="00AB6E92"/>
    <w:rsid w:val="00AC0CB2"/>
    <w:rsid w:val="00AD5302"/>
    <w:rsid w:val="00AD7CBE"/>
    <w:rsid w:val="00AE168A"/>
    <w:rsid w:val="00B25732"/>
    <w:rsid w:val="00B324B5"/>
    <w:rsid w:val="00B46D76"/>
    <w:rsid w:val="00B608F3"/>
    <w:rsid w:val="00BA5768"/>
    <w:rsid w:val="00BC6609"/>
    <w:rsid w:val="00BD0FD1"/>
    <w:rsid w:val="00BE57E9"/>
    <w:rsid w:val="00C1038A"/>
    <w:rsid w:val="00C31E13"/>
    <w:rsid w:val="00C44F34"/>
    <w:rsid w:val="00C50695"/>
    <w:rsid w:val="00C619E7"/>
    <w:rsid w:val="00C94854"/>
    <w:rsid w:val="00CB06B1"/>
    <w:rsid w:val="00CD17B1"/>
    <w:rsid w:val="00D12F36"/>
    <w:rsid w:val="00D267CF"/>
    <w:rsid w:val="00D75FB6"/>
    <w:rsid w:val="00DD30DA"/>
    <w:rsid w:val="00DE2713"/>
    <w:rsid w:val="00E04C9D"/>
    <w:rsid w:val="00E1344A"/>
    <w:rsid w:val="00E173AF"/>
    <w:rsid w:val="00E31064"/>
    <w:rsid w:val="00E4312C"/>
    <w:rsid w:val="00E64F32"/>
    <w:rsid w:val="00E800E9"/>
    <w:rsid w:val="00E920AE"/>
    <w:rsid w:val="00F86BE3"/>
    <w:rsid w:val="00FE30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29E7"/>
  <w15:docId w15:val="{657492D0-CB5C-46D9-9A94-86A0452A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713"/>
    <w:rPr>
      <w:lang w:val="en-GB"/>
    </w:rPr>
  </w:style>
  <w:style w:type="paragraph" w:styleId="Titre1">
    <w:name w:val="heading 1"/>
    <w:basedOn w:val="Normal"/>
    <w:next w:val="Normal"/>
    <w:link w:val="Titre1Car"/>
    <w:uiPriority w:val="9"/>
    <w:qFormat/>
    <w:rsid w:val="00C5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713"/>
    <w:pPr>
      <w:ind w:left="720"/>
      <w:contextualSpacing/>
    </w:pPr>
  </w:style>
  <w:style w:type="paragraph" w:styleId="Sansinterligne">
    <w:name w:val="No Spacing"/>
    <w:uiPriority w:val="1"/>
    <w:qFormat/>
    <w:rsid w:val="000F3C25"/>
    <w:pPr>
      <w:spacing w:after="0" w:line="240" w:lineRule="auto"/>
    </w:pPr>
    <w:rPr>
      <w:lang w:val="en-GB"/>
    </w:rPr>
  </w:style>
  <w:style w:type="character" w:styleId="Lienhypertexte">
    <w:name w:val="Hyperlink"/>
    <w:basedOn w:val="Policepardfaut"/>
    <w:uiPriority w:val="99"/>
    <w:unhideWhenUsed/>
    <w:rsid w:val="00E4312C"/>
    <w:rPr>
      <w:color w:val="0000FF" w:themeColor="hyperlink"/>
      <w:u w:val="single"/>
    </w:rPr>
  </w:style>
  <w:style w:type="character" w:styleId="Marquedecommentaire">
    <w:name w:val="annotation reference"/>
    <w:basedOn w:val="Policepardfaut"/>
    <w:uiPriority w:val="99"/>
    <w:semiHidden/>
    <w:unhideWhenUsed/>
    <w:rsid w:val="00586C3E"/>
    <w:rPr>
      <w:sz w:val="16"/>
      <w:szCs w:val="16"/>
    </w:rPr>
  </w:style>
  <w:style w:type="paragraph" w:styleId="Commentaire">
    <w:name w:val="annotation text"/>
    <w:basedOn w:val="Normal"/>
    <w:link w:val="CommentaireCar"/>
    <w:uiPriority w:val="99"/>
    <w:semiHidden/>
    <w:unhideWhenUsed/>
    <w:rsid w:val="00586C3E"/>
    <w:pPr>
      <w:spacing w:line="240" w:lineRule="auto"/>
    </w:pPr>
    <w:rPr>
      <w:sz w:val="20"/>
      <w:szCs w:val="20"/>
    </w:rPr>
  </w:style>
  <w:style w:type="character" w:customStyle="1" w:styleId="CommentaireCar">
    <w:name w:val="Commentaire Car"/>
    <w:basedOn w:val="Policepardfaut"/>
    <w:link w:val="Commentaire"/>
    <w:uiPriority w:val="99"/>
    <w:semiHidden/>
    <w:rsid w:val="00586C3E"/>
    <w:rPr>
      <w:sz w:val="20"/>
      <w:szCs w:val="20"/>
      <w:lang w:val="en-GB"/>
    </w:rPr>
  </w:style>
  <w:style w:type="paragraph" w:styleId="Textedebulles">
    <w:name w:val="Balloon Text"/>
    <w:basedOn w:val="Normal"/>
    <w:link w:val="TextedebullesCar"/>
    <w:uiPriority w:val="99"/>
    <w:semiHidden/>
    <w:unhideWhenUsed/>
    <w:rsid w:val="00586C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C3E"/>
    <w:rPr>
      <w:rFonts w:ascii="Tahoma" w:hAnsi="Tahoma" w:cs="Tahoma"/>
      <w:sz w:val="16"/>
      <w:szCs w:val="16"/>
      <w:lang w:val="en-GB"/>
    </w:rPr>
  </w:style>
  <w:style w:type="table" w:styleId="Grilledutableau">
    <w:name w:val="Table Grid"/>
    <w:basedOn w:val="TableauNormal"/>
    <w:uiPriority w:val="59"/>
    <w:rsid w:val="005B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271E"/>
    <w:pPr>
      <w:tabs>
        <w:tab w:val="center" w:pos="4513"/>
        <w:tab w:val="right" w:pos="9026"/>
      </w:tabs>
      <w:spacing w:after="0" w:line="240" w:lineRule="auto"/>
    </w:pPr>
  </w:style>
  <w:style w:type="character" w:customStyle="1" w:styleId="En-tteCar">
    <w:name w:val="En-tête Car"/>
    <w:basedOn w:val="Policepardfaut"/>
    <w:link w:val="En-tte"/>
    <w:uiPriority w:val="99"/>
    <w:rsid w:val="005B271E"/>
    <w:rPr>
      <w:lang w:val="en-GB"/>
    </w:rPr>
  </w:style>
  <w:style w:type="paragraph" w:styleId="Pieddepage">
    <w:name w:val="footer"/>
    <w:basedOn w:val="Normal"/>
    <w:link w:val="PieddepageCar"/>
    <w:uiPriority w:val="99"/>
    <w:unhideWhenUsed/>
    <w:rsid w:val="005B271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B271E"/>
    <w:rPr>
      <w:lang w:val="en-GB"/>
    </w:rPr>
  </w:style>
  <w:style w:type="paragraph" w:styleId="Objetducommentaire">
    <w:name w:val="annotation subject"/>
    <w:basedOn w:val="Commentaire"/>
    <w:next w:val="Commentaire"/>
    <w:link w:val="ObjetducommentaireCar"/>
    <w:uiPriority w:val="99"/>
    <w:semiHidden/>
    <w:unhideWhenUsed/>
    <w:rsid w:val="004329C4"/>
    <w:rPr>
      <w:b/>
      <w:bCs/>
    </w:rPr>
  </w:style>
  <w:style w:type="character" w:customStyle="1" w:styleId="ObjetducommentaireCar">
    <w:name w:val="Objet du commentaire Car"/>
    <w:basedOn w:val="CommentaireCar"/>
    <w:link w:val="Objetducommentaire"/>
    <w:uiPriority w:val="99"/>
    <w:semiHidden/>
    <w:rsid w:val="004329C4"/>
    <w:rPr>
      <w:b/>
      <w:bCs/>
      <w:sz w:val="20"/>
      <w:szCs w:val="20"/>
      <w:lang w:val="en-GB"/>
    </w:rPr>
  </w:style>
  <w:style w:type="character" w:customStyle="1" w:styleId="Titre1Car">
    <w:name w:val="Titre 1 Car"/>
    <w:basedOn w:val="Policepardfaut"/>
    <w:link w:val="Titre1"/>
    <w:uiPriority w:val="9"/>
    <w:rsid w:val="00C50695"/>
    <w:rPr>
      <w:rFonts w:asciiTheme="majorHAnsi" w:eastAsiaTheme="majorEastAsia" w:hAnsiTheme="majorHAnsi" w:cstheme="majorBidi"/>
      <w:color w:val="365F91" w:themeColor="accent1" w:themeShade="BF"/>
      <w:sz w:val="32"/>
      <w:szCs w:val="32"/>
      <w:lang w:val="en-GB"/>
    </w:rPr>
  </w:style>
  <w:style w:type="character" w:customStyle="1" w:styleId="Mentionnonrsolue1">
    <w:name w:val="Mention non résolue1"/>
    <w:basedOn w:val="Policepardfaut"/>
    <w:uiPriority w:val="99"/>
    <w:semiHidden/>
    <w:unhideWhenUsed/>
    <w:rsid w:val="00E6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043">
      <w:bodyDiv w:val="1"/>
      <w:marLeft w:val="0"/>
      <w:marRight w:val="0"/>
      <w:marTop w:val="0"/>
      <w:marBottom w:val="0"/>
      <w:divBdr>
        <w:top w:val="none" w:sz="0" w:space="0" w:color="auto"/>
        <w:left w:val="none" w:sz="0" w:space="0" w:color="auto"/>
        <w:bottom w:val="none" w:sz="0" w:space="0" w:color="auto"/>
        <w:right w:val="none" w:sz="0" w:space="0" w:color="auto"/>
      </w:divBdr>
    </w:div>
    <w:div w:id="121192493">
      <w:bodyDiv w:val="1"/>
      <w:marLeft w:val="0"/>
      <w:marRight w:val="0"/>
      <w:marTop w:val="0"/>
      <w:marBottom w:val="0"/>
      <w:divBdr>
        <w:top w:val="none" w:sz="0" w:space="0" w:color="auto"/>
        <w:left w:val="none" w:sz="0" w:space="0" w:color="auto"/>
        <w:bottom w:val="none" w:sz="0" w:space="0" w:color="auto"/>
        <w:right w:val="none" w:sz="0" w:space="0" w:color="auto"/>
      </w:divBdr>
    </w:div>
    <w:div w:id="536089599">
      <w:bodyDiv w:val="1"/>
      <w:marLeft w:val="0"/>
      <w:marRight w:val="0"/>
      <w:marTop w:val="0"/>
      <w:marBottom w:val="0"/>
      <w:divBdr>
        <w:top w:val="none" w:sz="0" w:space="0" w:color="auto"/>
        <w:left w:val="none" w:sz="0" w:space="0" w:color="auto"/>
        <w:bottom w:val="none" w:sz="0" w:space="0" w:color="auto"/>
        <w:right w:val="none" w:sz="0" w:space="0" w:color="auto"/>
      </w:divBdr>
    </w:div>
    <w:div w:id="638998438">
      <w:bodyDiv w:val="1"/>
      <w:marLeft w:val="0"/>
      <w:marRight w:val="0"/>
      <w:marTop w:val="0"/>
      <w:marBottom w:val="0"/>
      <w:divBdr>
        <w:top w:val="none" w:sz="0" w:space="0" w:color="auto"/>
        <w:left w:val="none" w:sz="0" w:space="0" w:color="auto"/>
        <w:bottom w:val="none" w:sz="0" w:space="0" w:color="auto"/>
        <w:right w:val="none" w:sz="0" w:space="0" w:color="auto"/>
      </w:divBdr>
    </w:div>
    <w:div w:id="1622613424">
      <w:bodyDiv w:val="1"/>
      <w:marLeft w:val="0"/>
      <w:marRight w:val="0"/>
      <w:marTop w:val="0"/>
      <w:marBottom w:val="0"/>
      <w:divBdr>
        <w:top w:val="none" w:sz="0" w:space="0" w:color="auto"/>
        <w:left w:val="none" w:sz="0" w:space="0" w:color="auto"/>
        <w:bottom w:val="none" w:sz="0" w:space="0" w:color="auto"/>
        <w:right w:val="none" w:sz="0" w:space="0" w:color="auto"/>
      </w:divBdr>
    </w:div>
    <w:div w:id="1673099197">
      <w:bodyDiv w:val="1"/>
      <w:marLeft w:val="0"/>
      <w:marRight w:val="0"/>
      <w:marTop w:val="0"/>
      <w:marBottom w:val="0"/>
      <w:divBdr>
        <w:top w:val="none" w:sz="0" w:space="0" w:color="auto"/>
        <w:left w:val="none" w:sz="0" w:space="0" w:color="auto"/>
        <w:bottom w:val="none" w:sz="0" w:space="0" w:color="auto"/>
        <w:right w:val="none" w:sz="0" w:space="0" w:color="auto"/>
      </w:divBdr>
    </w:div>
    <w:div w:id="1908371811">
      <w:bodyDiv w:val="1"/>
      <w:marLeft w:val="0"/>
      <w:marRight w:val="0"/>
      <w:marTop w:val="0"/>
      <w:marBottom w:val="0"/>
      <w:divBdr>
        <w:top w:val="none" w:sz="0" w:space="0" w:color="auto"/>
        <w:left w:val="none" w:sz="0" w:space="0" w:color="auto"/>
        <w:bottom w:val="none" w:sz="0" w:space="0" w:color="auto"/>
        <w:right w:val="none" w:sz="0" w:space="0" w:color="auto"/>
      </w:divBdr>
    </w:div>
    <w:div w:id="1988001473">
      <w:bodyDiv w:val="1"/>
      <w:marLeft w:val="0"/>
      <w:marRight w:val="0"/>
      <w:marTop w:val="0"/>
      <w:marBottom w:val="0"/>
      <w:divBdr>
        <w:top w:val="none" w:sz="0" w:space="0" w:color="auto"/>
        <w:left w:val="none" w:sz="0" w:space="0" w:color="auto"/>
        <w:bottom w:val="none" w:sz="0" w:space="0" w:color="auto"/>
        <w:right w:val="none" w:sz="0" w:space="0" w:color="auto"/>
      </w:divBdr>
    </w:div>
    <w:div w:id="20935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233;ration-ue-mali.ml" TargetMode="External"/><Relationship Id="rId13" Type="http://schemas.openxmlformats.org/officeDocument/2006/relationships/hyperlink" Target="mailto:confed@confedmali.net" TargetMode="External"/><Relationship Id="rId3" Type="http://schemas.openxmlformats.org/officeDocument/2006/relationships/settings" Target="settings.xml"/><Relationship Id="rId7" Type="http://schemas.openxmlformats.org/officeDocument/2006/relationships/hyperlink" Target="http://www.confedmali.net" TargetMode="External"/><Relationship Id="rId12" Type="http://schemas.openxmlformats.org/officeDocument/2006/relationships/hyperlink" Target="mailto:confed@confedmali.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op&#233;ration-ue-mali.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fedmali.net" TargetMode="External"/><Relationship Id="rId4" Type="http://schemas.openxmlformats.org/officeDocument/2006/relationships/webSettings" Target="webSettings.xml"/><Relationship Id="rId9" Type="http://schemas.openxmlformats.org/officeDocument/2006/relationships/hyperlink" Target="mailto:confed@confedmali.net" TargetMode="External"/><Relationship Id="rId14" Type="http://schemas.openxmlformats.org/officeDocument/2006/relationships/hyperlink" Target="mailto:confed@confedma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9359</Characters>
  <Application>Microsoft Office Word</Application>
  <DocSecurity>0</DocSecurity>
  <Lines>77</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EEAS</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HOSTE Amaury (EEAS-BAMAKO)</dc:creator>
  <cp:lastModifiedBy>Microsoft Office User</cp:lastModifiedBy>
  <cp:revision>2</cp:revision>
  <cp:lastPrinted>2020-06-03T17:23:00Z</cp:lastPrinted>
  <dcterms:created xsi:type="dcterms:W3CDTF">2020-06-29T17:37:00Z</dcterms:created>
  <dcterms:modified xsi:type="dcterms:W3CDTF">2020-06-29T17:37:00Z</dcterms:modified>
</cp:coreProperties>
</file>